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_rels/.rels" ContentType="application/vnd.openxmlformats-package.relationship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ind w:left="0" w:right="0" w:hanging="0"/>
        <w:jc w:val="center"/>
        <w:rPr/>
      </w:pPr>
      <w:r>
        <w:rPr>
          <w:rFonts w:eastAsia="Times New Roman" w:cs="Times New Roman" w:ascii="Tinos" w:hAnsi="Tinos"/>
          <w:b/>
          <w:sz w:val="28"/>
          <w:szCs w:val="28"/>
          <w:lang w:eastAsia="ru-RU"/>
        </w:rPr>
        <w:t>ОБЗОР</w:t>
      </w:r>
    </w:p>
    <w:p>
      <w:pPr>
        <w:pStyle w:val="Normal"/>
        <w:spacing w:lineRule="auto" w:line="240" w:before="0" w:after="0"/>
        <w:ind w:left="0" w:right="0" w:hanging="0"/>
        <w:jc w:val="center"/>
        <w:rPr/>
      </w:pPr>
      <w:r>
        <w:rPr>
          <w:rFonts w:eastAsia="Times New Roman" w:cs="Times New Roman" w:ascii="Tinos" w:hAnsi="Tinos"/>
          <w:b/>
          <w:sz w:val="28"/>
          <w:szCs w:val="28"/>
          <w:lang w:eastAsia="ru-RU"/>
        </w:rPr>
        <w:t>ПРАВОПРИМЕНИТЕЛЬНОЙ ПРАКТИКИ КОНТРОЛЬНО-НАДЗОРНОЙ</w:t>
      </w:r>
    </w:p>
    <w:p>
      <w:pPr>
        <w:pStyle w:val="Normal"/>
        <w:spacing w:lineRule="auto" w:line="240" w:before="0" w:after="0"/>
        <w:ind w:left="0" w:right="0" w:hanging="0"/>
        <w:jc w:val="center"/>
        <w:rPr/>
      </w:pPr>
      <w:r>
        <w:rPr>
          <w:rFonts w:eastAsia="Times New Roman" w:cs="Times New Roman" w:ascii="Tinos" w:hAnsi="Tinos"/>
          <w:b/>
          <w:sz w:val="28"/>
          <w:szCs w:val="28"/>
          <w:lang w:eastAsia="ru-RU"/>
        </w:rPr>
        <w:t xml:space="preserve">ДЕЯТЕЛЬНОСТИ ПОДРАЗДЕЛЕНИЙ ЛИЦЕНЗИОННО-РАЗРЕШИТЕЛЬНОЙ РАБОТЫ </w:t>
      </w:r>
      <w:r>
        <w:rPr>
          <w:rFonts w:eastAsia="Times New Roman" w:cs="Times New Roman" w:ascii="Tinos" w:hAnsi="Tinos"/>
          <w:b/>
          <w:color w:val="auto"/>
          <w:kern w:val="0"/>
          <w:sz w:val="28"/>
          <w:szCs w:val="28"/>
          <w:lang w:val="ru-RU" w:eastAsia="ru-RU" w:bidi="ar-SA"/>
        </w:rPr>
        <w:t>УПРАВЛЕНИЯ</w:t>
      </w:r>
      <w:r>
        <w:rPr>
          <w:rFonts w:eastAsia="Times New Roman" w:cs="Times New Roman" w:ascii="Tinos" w:hAnsi="Tinos"/>
          <w:b/>
          <w:sz w:val="28"/>
          <w:szCs w:val="28"/>
          <w:lang w:eastAsia="ru-RU"/>
        </w:rPr>
        <w:t xml:space="preserve"> РОСГВАРДИИ ПО РЕСПУБЛИКЕ</w:t>
      </w:r>
      <w:r>
        <w:rPr>
          <w:rFonts w:eastAsia="Times New Roman" w:cs="Times New Roman" w:ascii="Tinos" w:hAnsi="Tinos"/>
          <w:b/>
          <w:color w:val="auto"/>
          <w:kern w:val="0"/>
          <w:sz w:val="28"/>
          <w:szCs w:val="28"/>
          <w:lang w:val="ru-RU" w:eastAsia="ru-RU" w:bidi="ar-SA"/>
        </w:rPr>
        <w:t xml:space="preserve"> ТЫВА ЗА 6 МЕСЯЦЕВ 2025 ГОДА</w:t>
      </w:r>
    </w:p>
    <w:p>
      <w:pPr>
        <w:pStyle w:val="Normal"/>
        <w:spacing w:lineRule="auto" w:line="240" w:before="0" w:after="0"/>
        <w:ind w:left="0" w:right="0" w:hanging="0"/>
        <w:jc w:val="center"/>
        <w:rPr>
          <w:rFonts w:ascii="Tinos" w:hAnsi="Tinos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nos" w:hAnsi="Tinos"/>
          <w:sz w:val="28"/>
          <w:szCs w:val="28"/>
          <w:lang w:eastAsia="ru-RU"/>
        </w:rPr>
      </w:r>
    </w:p>
    <w:p>
      <w:pPr>
        <w:pStyle w:val="Normal"/>
        <w:spacing w:lineRule="auto" w:line="240" w:before="0" w:after="0"/>
        <w:ind w:left="0" w:right="0" w:hanging="0"/>
        <w:jc w:val="both"/>
        <w:rPr/>
      </w:pPr>
      <w:r>
        <w:rPr>
          <w:rFonts w:eastAsia="Times New Roman" w:cs="Times New Roman" w:ascii="Tinos" w:hAnsi="Tinos"/>
          <w:sz w:val="28"/>
          <w:szCs w:val="28"/>
          <w:lang w:eastAsia="ru-RU"/>
        </w:rPr>
        <w:tab/>
        <w:t xml:space="preserve">В отчетном периоде сотрудниками Центра лицензионно- разрешительной работы Управления Росгвардии по Республике Тыва осуществлены функции Федерального государственного контроля  (надзора) </w:t>
      </w:r>
      <w:r>
        <w:rPr>
          <w:rFonts w:eastAsia="Times New Roman" w:cs="Times New Roman" w:ascii="Tinos" w:hAnsi="Tinos"/>
          <w:color w:val="auto"/>
          <w:kern w:val="0"/>
          <w:sz w:val="28"/>
          <w:szCs w:val="28"/>
          <w:lang w:val="ru-RU" w:eastAsia="ru-RU" w:bidi="ar-SA"/>
        </w:rPr>
        <w:t>за деятельностью организаций занимающиеся торговлей оружием и патронов к нему согласно</w:t>
      </w:r>
      <w:r>
        <w:rPr>
          <w:rFonts w:eastAsia="Times New Roman" w:cs="Times New Roman" w:ascii="Tinos" w:hAnsi="Tinos"/>
          <w:sz w:val="28"/>
          <w:szCs w:val="28"/>
          <w:lang w:eastAsia="ru-RU"/>
        </w:rPr>
        <w:t xml:space="preserve"> </w:t>
      </w:r>
      <w:r>
        <w:rPr>
          <w:rFonts w:eastAsia="Times New Roman" w:cs="Times New Roman" w:ascii="Tinos" w:hAnsi="Tinos"/>
          <w:color w:val="auto"/>
          <w:kern w:val="0"/>
          <w:sz w:val="28"/>
          <w:szCs w:val="28"/>
          <w:lang w:val="ru-RU" w:eastAsia="ru-RU" w:bidi="ar-SA"/>
        </w:rPr>
        <w:t>П</w:t>
      </w:r>
      <w:r>
        <w:rPr>
          <w:rFonts w:eastAsia="Times New Roman" w:cs="Times New Roman" w:ascii="Tinos" w:hAnsi="Tinos"/>
          <w:sz w:val="28"/>
          <w:szCs w:val="28"/>
          <w:lang w:eastAsia="ru-RU"/>
        </w:rPr>
        <w:t>лана проверок специализированных организаций по торговле гражданским и служебным оружием и патронов к нему</w:t>
      </w:r>
      <w:r>
        <w:rPr>
          <w:rStyle w:val="Style17"/>
          <w:rFonts w:eastAsia="Times New Roman" w:cs="Times New Roman" w:ascii="Tinos" w:hAnsi="Tinos"/>
          <w:sz w:val="28"/>
          <w:szCs w:val="28"/>
          <w:lang w:eastAsia="ru-RU"/>
        </w:rPr>
        <w:footnoteReference w:id="2"/>
      </w:r>
      <w:r>
        <w:rPr>
          <w:rFonts w:eastAsia="Times New Roman" w:cs="Times New Roman" w:ascii="Tinos" w:hAnsi="Tinos"/>
          <w:sz w:val="28"/>
          <w:szCs w:val="28"/>
          <w:lang w:eastAsia="ru-RU"/>
        </w:rPr>
        <w:t xml:space="preserve"> на территории Республики Тыва на 202</w:t>
      </w:r>
      <w:r>
        <w:rPr>
          <w:rFonts w:eastAsia="Times New Roman" w:cs="Times New Roman" w:ascii="Tinos" w:hAnsi="Tinos"/>
          <w:color w:val="auto"/>
          <w:kern w:val="0"/>
          <w:sz w:val="28"/>
          <w:szCs w:val="28"/>
          <w:lang w:val="ru-RU" w:eastAsia="ru-RU" w:bidi="ar-SA"/>
        </w:rPr>
        <w:t xml:space="preserve">5 </w:t>
      </w:r>
      <w:r>
        <w:rPr>
          <w:rFonts w:eastAsia="Times New Roman" w:cs="Times New Roman" w:ascii="Tinos" w:hAnsi="Tinos"/>
          <w:sz w:val="28"/>
          <w:szCs w:val="28"/>
          <w:lang w:eastAsia="ru-RU"/>
        </w:rPr>
        <w:t xml:space="preserve">год </w:t>
      </w:r>
      <w:r>
        <w:rPr>
          <w:rFonts w:eastAsia="Times New Roman" w:cs="Times New Roman" w:ascii="Tinos" w:hAnsi="Tinos"/>
          <w:sz w:val="28"/>
          <w:szCs w:val="28"/>
          <w:lang w:eastAsia="ru-RU"/>
        </w:rPr>
        <w:t>и контроля за частной охранной деятельност</w:t>
      </w:r>
      <w:r>
        <w:rPr>
          <w:rFonts w:eastAsia="Times New Roman" w:cs="Times New Roman" w:ascii="Tinos" w:hAnsi="Tinos"/>
          <w:color w:val="auto"/>
          <w:kern w:val="0"/>
          <w:sz w:val="28"/>
          <w:szCs w:val="28"/>
          <w:lang w:val="ru-RU" w:eastAsia="ru-RU" w:bidi="ar-SA"/>
        </w:rPr>
        <w:t>ью</w:t>
      </w:r>
      <w:r>
        <w:rPr>
          <w:rFonts w:eastAsia="Times New Roman" w:cs="Times New Roman" w:ascii="Tinos" w:hAnsi="Tinos"/>
          <w:sz w:val="28"/>
          <w:szCs w:val="28"/>
          <w:lang w:eastAsia="ru-RU"/>
        </w:rPr>
        <w:t xml:space="preserve"> согласно Плана проведения плановых проверок частных охранных организаций на 2025 год.</w:t>
      </w:r>
    </w:p>
    <w:p>
      <w:pPr>
        <w:pStyle w:val="Normal"/>
        <w:spacing w:lineRule="auto" w:line="240" w:before="0" w:after="0"/>
        <w:ind w:left="0" w:right="0" w:hanging="0"/>
        <w:jc w:val="both"/>
        <w:rPr/>
      </w:pPr>
      <w:r>
        <w:rPr>
          <w:rFonts w:eastAsia="Times New Roman" w:cs="Times New Roman" w:ascii="Tinos" w:hAnsi="Tinos"/>
          <w:sz w:val="28"/>
          <w:szCs w:val="28"/>
          <w:lang w:eastAsia="ru-RU"/>
        </w:rPr>
        <w:tab/>
        <w:t xml:space="preserve">С января по </w:t>
      </w:r>
      <w:r>
        <w:rPr>
          <w:rFonts w:eastAsia="Times New Roman" w:cs="Times New Roman" w:ascii="Tinos" w:hAnsi="Tinos"/>
          <w:color w:val="auto"/>
          <w:kern w:val="0"/>
          <w:sz w:val="28"/>
          <w:szCs w:val="28"/>
          <w:lang w:val="ru-RU" w:eastAsia="ru-RU" w:bidi="ar-SA"/>
        </w:rPr>
        <w:t>июль</w:t>
      </w:r>
      <w:r>
        <w:rPr>
          <w:rFonts w:eastAsia="Times New Roman" w:cs="Times New Roman" w:ascii="Tinos" w:hAnsi="Tinos"/>
          <w:sz w:val="28"/>
          <w:szCs w:val="28"/>
          <w:lang w:eastAsia="ru-RU"/>
        </w:rPr>
        <w:t xml:space="preserve"> текущего года сотрудниками Центра лицензионно-разрешительной работы Управления Росгвардии по Республики Тыва проведен</w:t>
      </w:r>
      <w:r>
        <w:rPr>
          <w:rFonts w:eastAsia="Times New Roman" w:cs="Times New Roman" w:ascii="Tinos" w:hAnsi="Tinos"/>
          <w:color w:val="auto"/>
          <w:kern w:val="0"/>
          <w:sz w:val="28"/>
          <w:szCs w:val="28"/>
          <w:lang w:val="ru-RU" w:eastAsia="ru-RU" w:bidi="ar-SA"/>
        </w:rPr>
        <w:t>о</w:t>
      </w:r>
      <w:r>
        <w:rPr>
          <w:rFonts w:eastAsia="Times New Roman" w:cs="Times New Roman" w:ascii="Tinos" w:hAnsi="Tinos"/>
          <w:sz w:val="28"/>
          <w:szCs w:val="28"/>
          <w:lang w:eastAsia="ru-RU"/>
        </w:rPr>
        <w:t xml:space="preserve"> </w:t>
      </w:r>
      <w:r>
        <w:rPr>
          <w:rFonts w:eastAsia="Times New Roman" w:cs="Times New Roman" w:ascii="Tinos" w:hAnsi="Tinos"/>
          <w:color w:val="auto"/>
          <w:kern w:val="0"/>
          <w:sz w:val="28"/>
          <w:szCs w:val="28"/>
          <w:lang w:val="ru-RU" w:eastAsia="ru-RU" w:bidi="ar-SA"/>
        </w:rPr>
        <w:t xml:space="preserve">3 плановых </w:t>
      </w:r>
      <w:r>
        <w:rPr>
          <w:rFonts w:eastAsia="Times New Roman" w:cs="Times New Roman" w:ascii="Tinos" w:hAnsi="Tinos"/>
          <w:sz w:val="28"/>
          <w:szCs w:val="28"/>
          <w:lang w:eastAsia="ru-RU"/>
        </w:rPr>
        <w:t>провер</w:t>
      </w:r>
      <w:r>
        <w:rPr>
          <w:rFonts w:eastAsia="Times New Roman" w:cs="Times New Roman" w:ascii="Tinos" w:hAnsi="Tinos"/>
          <w:color w:val="auto"/>
          <w:kern w:val="0"/>
          <w:sz w:val="28"/>
          <w:szCs w:val="28"/>
          <w:lang w:val="ru-RU" w:eastAsia="ru-RU" w:bidi="ar-SA"/>
        </w:rPr>
        <w:t xml:space="preserve">ки лицензионных требований: </w:t>
      </w:r>
    </w:p>
    <w:p>
      <w:pPr>
        <w:pStyle w:val="Normal"/>
        <w:spacing w:lineRule="auto" w:line="240" w:before="0" w:after="0"/>
        <w:ind w:left="0" w:right="0" w:hanging="0"/>
        <w:jc w:val="both"/>
        <w:rPr/>
      </w:pPr>
      <w:r>
        <w:rPr>
          <w:rFonts w:eastAsia="Times New Roman" w:cs="Times New Roman" w:ascii="Tinos" w:hAnsi="Tinos"/>
          <w:color w:val="auto"/>
          <w:kern w:val="0"/>
          <w:sz w:val="28"/>
          <w:szCs w:val="28"/>
          <w:lang w:val="ru-RU" w:eastAsia="ru-RU" w:bidi="ar-SA"/>
        </w:rPr>
        <w:tab/>
        <w:t>- 2 в отношении обществ с ограниченной ответственностью частных охранных организаций (предприятий): «Тайфун», «Кобра».</w:t>
      </w:r>
    </w:p>
    <w:p>
      <w:pPr>
        <w:pStyle w:val="Normal"/>
        <w:spacing w:lineRule="auto" w:line="240" w:before="0" w:after="0"/>
        <w:ind w:left="0" w:right="0" w:hanging="0"/>
        <w:jc w:val="both"/>
        <w:rPr/>
      </w:pPr>
      <w:r>
        <w:rPr>
          <w:rFonts w:eastAsia="Times New Roman" w:cs="Times New Roman" w:ascii="Tinos" w:hAnsi="Tinos"/>
          <w:color w:val="auto"/>
          <w:kern w:val="0"/>
          <w:sz w:val="28"/>
          <w:szCs w:val="28"/>
          <w:lang w:val="ru-RU" w:eastAsia="ru-RU" w:bidi="ar-SA"/>
        </w:rPr>
        <w:tab/>
        <w:t xml:space="preserve">- 1 проверка в отношении специализированной организации по торговле гражданским и служебным оружием и патронов к нему </w:t>
      </w:r>
      <w:r>
        <w:rPr>
          <w:rFonts w:eastAsia="Times New Roman" w:cs="Times New Roman" w:ascii="Tinos" w:hAnsi="Tinos"/>
          <w:color w:val="auto"/>
          <w:kern w:val="0"/>
          <w:sz w:val="28"/>
          <w:szCs w:val="28"/>
          <w:lang w:val="ru-RU" w:eastAsia="ru-RU" w:bidi="ar-SA"/>
        </w:rPr>
        <w:t>(ООО «Толи»).</w:t>
      </w:r>
    </w:p>
    <w:p>
      <w:pPr>
        <w:pStyle w:val="Normal"/>
        <w:spacing w:lineRule="auto" w:line="240" w:before="0" w:after="0"/>
        <w:ind w:left="0" w:right="0" w:hanging="0"/>
        <w:jc w:val="center"/>
        <w:rPr>
          <w:rFonts w:ascii="Tinos" w:hAnsi="Tinos" w:eastAsia="Times New Roman" w:cs="Times New Roman"/>
          <w:b/>
          <w:b/>
          <w:sz w:val="28"/>
          <w:szCs w:val="28"/>
          <w:lang w:eastAsia="ru-RU"/>
        </w:rPr>
      </w:pPr>
      <w:r>
        <w:rPr>
          <w:rFonts w:eastAsia="Times New Roman" w:cs="Times New Roman" w:ascii="Tinos" w:hAnsi="Tinos"/>
          <w:b/>
          <w:sz w:val="28"/>
          <w:szCs w:val="28"/>
          <w:lang w:eastAsia="ru-RU"/>
        </w:rPr>
      </w:r>
    </w:p>
    <w:p>
      <w:pPr>
        <w:pStyle w:val="Normal"/>
        <w:spacing w:lineRule="auto" w:line="240" w:before="0" w:after="0"/>
        <w:ind w:left="0" w:right="0" w:hanging="0"/>
        <w:jc w:val="center"/>
        <w:rPr/>
      </w:pPr>
      <w:r>
        <w:rPr>
          <w:rFonts w:eastAsia="Times New Roman" w:cs="Times New Roman" w:ascii="Tinos" w:hAnsi="Tinos"/>
          <w:b/>
          <w:sz w:val="28"/>
          <w:szCs w:val="28"/>
          <w:lang w:eastAsia="ru-RU"/>
        </w:rPr>
        <w:t>В рамках указанных проверок обращалось внимание на соблюдение юридическими лицами требований следующих нормативно-правовых актов</w:t>
      </w:r>
    </w:p>
    <w:p>
      <w:pPr>
        <w:pStyle w:val="Normal"/>
        <w:spacing w:lineRule="auto" w:line="240" w:before="0" w:after="0"/>
        <w:ind w:left="0" w:right="0" w:hanging="0"/>
        <w:rPr>
          <w:rFonts w:ascii="Tinos" w:hAnsi="Tinos"/>
          <w:sz w:val="28"/>
          <w:szCs w:val="28"/>
        </w:rPr>
      </w:pPr>
      <w:r>
        <w:rPr>
          <w:rFonts w:ascii="Tinos" w:hAnsi="Tinos"/>
          <w:sz w:val="28"/>
          <w:szCs w:val="28"/>
        </w:rPr>
      </w:r>
    </w:p>
    <w:p>
      <w:pPr>
        <w:pStyle w:val="Normal"/>
        <w:spacing w:lineRule="auto" w:line="240" w:before="0" w:after="0"/>
        <w:ind w:left="0" w:right="0" w:hanging="0"/>
        <w:jc w:val="center"/>
        <w:rPr/>
      </w:pPr>
      <w:r>
        <w:rPr>
          <w:rFonts w:eastAsia="Times New Roman" w:cs="XO Thames" w:ascii="Tinos" w:hAnsi="Tinos"/>
          <w:b w:val="false"/>
          <w:bCs w:val="false"/>
          <w:i/>
          <w:iCs/>
          <w:color w:val="000000"/>
          <w:sz w:val="28"/>
          <w:szCs w:val="28"/>
          <w:lang w:eastAsia="ru-RU"/>
        </w:rPr>
        <w:tab/>
        <w:t>К основным нормативным правовым актам, в соответствии с которыми Управление Росгвардии по Республике Тыва осуществляет государственный контроль (надзор) в соответствующих сферах деятельности относятся:</w:t>
      </w:r>
    </w:p>
    <w:p>
      <w:pPr>
        <w:pStyle w:val="Normal"/>
        <w:spacing w:lineRule="auto" w:line="240" w:before="0" w:after="0"/>
        <w:ind w:left="0" w:right="0" w:hanging="0"/>
        <w:jc w:val="center"/>
        <w:rPr>
          <w:rFonts w:ascii="Tinos" w:hAnsi="Tinos" w:eastAsia="Times New Roman" w:cs="XO Thames"/>
          <w:b w:val="false"/>
          <w:b w:val="false"/>
          <w:bCs w:val="false"/>
          <w:i/>
          <w:i/>
          <w:iCs/>
          <w:color w:val="000000"/>
          <w:sz w:val="28"/>
          <w:szCs w:val="28"/>
          <w:lang w:eastAsia="ru-RU"/>
        </w:rPr>
      </w:pPr>
      <w:r>
        <w:rPr>
          <w:rFonts w:eastAsia="Times New Roman" w:cs="XO Thames" w:ascii="Tinos" w:hAnsi="Tinos"/>
          <w:b w:val="false"/>
          <w:bCs w:val="false"/>
          <w:i/>
          <w:iCs/>
          <w:color w:val="000000"/>
          <w:sz w:val="28"/>
          <w:szCs w:val="28"/>
          <w:lang w:eastAsia="ru-RU"/>
        </w:rPr>
      </w:r>
    </w:p>
    <w:p>
      <w:pPr>
        <w:pStyle w:val="Normal"/>
        <w:spacing w:lineRule="auto" w:line="240" w:before="0" w:after="0"/>
        <w:ind w:left="0" w:right="0" w:hanging="0"/>
        <w:jc w:val="both"/>
        <w:rPr/>
      </w:pPr>
      <w:r>
        <w:rPr>
          <w:rFonts w:cs="XO Thames" w:ascii="Tinos" w:hAnsi="Tinos"/>
          <w:sz w:val="28"/>
          <w:szCs w:val="28"/>
        </w:rPr>
        <w:tab/>
        <w:t>- от 13 декабря 1996 г. № 150-ФЗ «Об оружии»;</w:t>
      </w:r>
    </w:p>
    <w:p>
      <w:pPr>
        <w:pStyle w:val="Normal"/>
        <w:spacing w:lineRule="auto" w:line="240" w:before="0" w:after="0"/>
        <w:ind w:left="0" w:right="0" w:hanging="0"/>
        <w:jc w:val="both"/>
        <w:rPr/>
      </w:pPr>
      <w:r>
        <w:rPr>
          <w:rFonts w:cs="XO Thames" w:ascii="Tinos" w:hAnsi="Tinos"/>
          <w:sz w:val="28"/>
          <w:szCs w:val="28"/>
        </w:rPr>
        <w:tab/>
        <w:t xml:space="preserve">- от 24 июля 2007 г. № 209-ФЗ «О </w:t>
      </w:r>
      <w:r>
        <w:rPr>
          <w:rFonts w:cs="XO Thames" w:ascii="Tinos" w:hAnsi="Tinos"/>
          <w:bCs/>
          <w:sz w:val="28"/>
          <w:szCs w:val="28"/>
          <w:lang w:eastAsia="en-US"/>
        </w:rPr>
        <w:t>развитии малого и среднего предпринимательства в Российской Федерации»;</w:t>
      </w:r>
    </w:p>
    <w:p>
      <w:pPr>
        <w:pStyle w:val="Normal"/>
        <w:widowControl w:val="false"/>
        <w:spacing w:lineRule="auto" w:line="240" w:before="0" w:after="0"/>
        <w:ind w:left="0" w:right="0" w:hanging="0"/>
        <w:jc w:val="both"/>
        <w:rPr/>
      </w:pPr>
      <w:r>
        <w:rPr>
          <w:rFonts w:cs="XO Thames" w:ascii="Tinos" w:hAnsi="Tinos"/>
          <w:sz w:val="28"/>
          <w:szCs w:val="28"/>
        </w:rPr>
        <w:tab/>
        <w:t>- от 30 ноября 1994 г. № 51-ФЗ «Гражданский кодекс Российской Федерации»;</w:t>
      </w:r>
    </w:p>
    <w:p>
      <w:pPr>
        <w:pStyle w:val="Normal"/>
        <w:widowControl w:val="false"/>
        <w:spacing w:lineRule="auto" w:line="240" w:before="0" w:after="0"/>
        <w:ind w:left="0" w:right="0" w:hanging="0"/>
        <w:jc w:val="both"/>
        <w:rPr/>
      </w:pPr>
      <w:r>
        <w:rPr>
          <w:rFonts w:cs="XO Thames" w:ascii="Tinos" w:hAnsi="Tinos"/>
          <w:sz w:val="28"/>
          <w:szCs w:val="28"/>
        </w:rPr>
        <w:tab/>
        <w:t>- от 30 декабря 2001 г. № 195-ФЗ «Кодекс Российской Федерации об административных правонарушениях;</w:t>
      </w:r>
    </w:p>
    <w:p>
      <w:pPr>
        <w:pStyle w:val="Normal"/>
        <w:widowControl w:val="false"/>
        <w:spacing w:lineRule="auto" w:line="240" w:before="0" w:after="0"/>
        <w:ind w:left="0" w:right="0" w:hanging="0"/>
        <w:jc w:val="both"/>
        <w:rPr/>
      </w:pPr>
      <w:r>
        <w:rPr>
          <w:rFonts w:cs="XO Thames" w:ascii="Tinos" w:hAnsi="Tinos"/>
          <w:sz w:val="28"/>
          <w:szCs w:val="28"/>
        </w:rPr>
        <w:tab/>
        <w:t>- от 30 декабря 2001 г. № 197-ФЗ «Трудовой кодекс Российской Федерации»;</w:t>
      </w:r>
    </w:p>
    <w:p>
      <w:pPr>
        <w:pStyle w:val="Normal"/>
        <w:widowControl w:val="false"/>
        <w:spacing w:lineRule="auto" w:line="240" w:before="0" w:after="0"/>
        <w:ind w:left="0" w:right="0" w:hanging="0"/>
        <w:jc w:val="both"/>
        <w:rPr/>
      </w:pPr>
      <w:r>
        <w:rPr>
          <w:rFonts w:cs="XO Thames" w:ascii="Tinos" w:hAnsi="Tinos"/>
          <w:sz w:val="28"/>
          <w:szCs w:val="28"/>
        </w:rPr>
        <w:tab/>
        <w:t>- от</w:t>
      </w:r>
      <w:r>
        <w:rPr>
          <w:rFonts w:cs="XO Thames" w:ascii="Tinos" w:hAnsi="Tinos"/>
          <w:i w:val="false"/>
          <w:iCs w:val="false"/>
          <w:sz w:val="28"/>
          <w:szCs w:val="28"/>
          <w:u w:val="none"/>
        </w:rPr>
        <w:t xml:space="preserve"> 04 мая 2011 г. № 99-ФЗ «О лицензировании отдельных видов деятельности».</w:t>
      </w:r>
    </w:p>
    <w:p>
      <w:pPr>
        <w:pStyle w:val="Normal"/>
        <w:tabs>
          <w:tab w:val="clear" w:pos="708"/>
          <w:tab w:val="left" w:pos="1701" w:leader="none"/>
        </w:tabs>
        <w:spacing w:lineRule="auto" w:line="240" w:before="0" w:after="0"/>
        <w:ind w:left="0" w:right="0" w:hanging="0"/>
        <w:jc w:val="both"/>
        <w:rPr>
          <w:rFonts w:ascii="Tinos" w:hAnsi="Tinos" w:cs="XO Thames"/>
          <w:sz w:val="28"/>
          <w:szCs w:val="28"/>
        </w:rPr>
      </w:pPr>
      <w:r>
        <w:rPr>
          <w:rFonts w:cs="XO Thames" w:ascii="Tinos" w:hAnsi="Tinos"/>
          <w:sz w:val="28"/>
          <w:szCs w:val="28"/>
        </w:rPr>
      </w:r>
    </w:p>
    <w:p>
      <w:pPr>
        <w:pStyle w:val="Normal"/>
        <w:widowControl/>
        <w:tabs>
          <w:tab w:val="clear" w:pos="708"/>
          <w:tab w:val="left" w:pos="1701" w:leader="none"/>
        </w:tabs>
        <w:suppressAutoHyphens w:val="true"/>
        <w:bidi w:val="0"/>
        <w:spacing w:lineRule="auto" w:line="240" w:before="0" w:after="0"/>
        <w:ind w:left="0" w:right="0" w:hanging="0"/>
        <w:jc w:val="center"/>
        <w:rPr/>
      </w:pPr>
      <w:r>
        <w:rPr>
          <w:rFonts w:eastAsia="Calibri" w:cs="XO Thames" w:ascii="Tinos" w:hAnsi="Tinos" w:eastAsiaTheme="minorHAnsi"/>
          <w:color w:val="auto"/>
          <w:kern w:val="0"/>
          <w:sz w:val="28"/>
          <w:szCs w:val="28"/>
          <w:lang w:val="ru-RU" w:eastAsia="en-US" w:bidi="ar-SA"/>
        </w:rPr>
        <w:t>Постановления Правительства</w:t>
      </w:r>
      <w:r>
        <w:rPr>
          <w:rFonts w:cs="XO Thames" w:ascii="Tinos" w:hAnsi="Tinos"/>
          <w:sz w:val="28"/>
          <w:szCs w:val="28"/>
        </w:rPr>
        <w:t xml:space="preserve"> Российской Федерации:</w:t>
      </w:r>
    </w:p>
    <w:p>
      <w:pPr>
        <w:pStyle w:val="Normal"/>
        <w:widowControl w:val="false"/>
        <w:spacing w:lineRule="auto" w:line="240" w:before="0" w:after="0"/>
        <w:ind w:left="0" w:right="0" w:hanging="0"/>
        <w:jc w:val="center"/>
        <w:rPr>
          <w:rFonts w:ascii="Tinos" w:hAnsi="Tinos" w:cs="XO Thames"/>
          <w:sz w:val="28"/>
          <w:szCs w:val="28"/>
        </w:rPr>
      </w:pPr>
      <w:r>
        <w:rPr>
          <w:rFonts w:cs="XO Thames" w:ascii="Tinos" w:hAnsi="Tinos"/>
          <w:sz w:val="28"/>
          <w:szCs w:val="28"/>
        </w:rPr>
      </w:r>
    </w:p>
    <w:p>
      <w:pPr>
        <w:pStyle w:val="Normal"/>
        <w:tabs>
          <w:tab w:val="clear" w:pos="708"/>
          <w:tab w:val="left" w:pos="1134" w:leader="none"/>
          <w:tab w:val="left" w:pos="1560" w:leader="none"/>
        </w:tabs>
        <w:spacing w:lineRule="auto" w:line="240" w:before="0" w:after="0"/>
        <w:ind w:left="0" w:right="0" w:hanging="0"/>
        <w:jc w:val="both"/>
        <w:rPr/>
      </w:pPr>
      <w:r>
        <w:rPr>
          <w:rFonts w:cs="XO Thames" w:ascii="Tinos" w:hAnsi="Tinos"/>
          <w:sz w:val="28"/>
          <w:szCs w:val="28"/>
        </w:rPr>
        <w:tab/>
        <w:t>- от 21 июля 1998 г. № 814 «О мерах по регулированию оборота гражданского и служебного оружия и патронов к нему на территории Российской Федерации»;</w:t>
      </w:r>
    </w:p>
    <w:p>
      <w:pPr>
        <w:pStyle w:val="Normal"/>
        <w:tabs>
          <w:tab w:val="clear" w:pos="708"/>
          <w:tab w:val="left" w:pos="1134" w:leader="none"/>
          <w:tab w:val="left" w:pos="1560" w:leader="none"/>
        </w:tabs>
        <w:spacing w:lineRule="auto" w:line="240" w:before="0" w:after="0"/>
        <w:ind w:left="0" w:right="0" w:hanging="0"/>
        <w:jc w:val="both"/>
        <w:rPr/>
      </w:pPr>
      <w:r>
        <w:rPr>
          <w:rFonts w:cs="XO Thames" w:ascii="Tinos" w:hAnsi="Tinos"/>
          <w:sz w:val="28"/>
          <w:szCs w:val="28"/>
        </w:rPr>
        <w:tab/>
        <w:t xml:space="preserve">- </w:t>
      </w:r>
      <w:r>
        <w:rPr>
          <w:rStyle w:val="Style20"/>
          <w:rFonts w:eastAsia="Calibri" w:cs="Times New Roman" w:ascii="Tinos" w:hAnsi="Tinos"/>
          <w:b w:val="false"/>
          <w:bCs/>
          <w:i w:val="false"/>
          <w:iCs/>
          <w:color w:val="auto"/>
          <w:spacing w:val="0"/>
          <w:kern w:val="0"/>
          <w:sz w:val="28"/>
          <w:szCs w:val="28"/>
          <w:u w:val="none"/>
          <w:lang w:val="ru-RU" w:eastAsia="en-US" w:bidi="ar-SA"/>
        </w:rPr>
        <w:t xml:space="preserve">от 14 сентября 2012 г. № 925 «О лицензировании разработки, производства, испытания, хранения, реализации и утилизации боеприпасов (в том числе патронов к гражданскому и служебному оружию и составных частей патронов), пиротехнических изделий </w:t>
      </w:r>
      <w:r>
        <w:rPr>
          <w:rStyle w:val="Style20"/>
          <w:rFonts w:eastAsia="Calibri" w:cs="Times New Roman" w:ascii="Tinos" w:hAnsi="Tinos"/>
          <w:b w:val="false"/>
          <w:bCs/>
          <w:i w:val="false"/>
          <w:iCs/>
          <w:color w:val="auto"/>
          <w:spacing w:val="0"/>
          <w:kern w:val="0"/>
          <w:sz w:val="28"/>
          <w:szCs w:val="28"/>
          <w:u w:val="none"/>
          <w:lang w:val="en-US" w:eastAsia="en-US" w:bidi="ar-SA"/>
        </w:rPr>
        <w:t>IV</w:t>
      </w:r>
      <w:r>
        <w:rPr>
          <w:rStyle w:val="Style20"/>
          <w:rFonts w:eastAsia="Calibri" w:cs="Times New Roman" w:ascii="Tinos" w:hAnsi="Tinos"/>
          <w:b w:val="false"/>
          <w:bCs/>
          <w:i w:val="false"/>
          <w:iCs/>
          <w:color w:val="auto"/>
          <w:spacing w:val="0"/>
          <w:kern w:val="0"/>
          <w:sz w:val="28"/>
          <w:szCs w:val="28"/>
          <w:u w:val="none"/>
          <w:lang w:val="ru-RU" w:eastAsia="en-US" w:bidi="ar-SA"/>
        </w:rPr>
        <w:t xml:space="preserve"> и </w:t>
      </w:r>
      <w:r>
        <w:rPr>
          <w:rStyle w:val="Style20"/>
          <w:rFonts w:eastAsia="Calibri" w:cs="Times New Roman" w:ascii="Tinos" w:hAnsi="Tinos"/>
          <w:b w:val="false"/>
          <w:bCs/>
          <w:i w:val="false"/>
          <w:iCs/>
          <w:color w:val="auto"/>
          <w:spacing w:val="0"/>
          <w:kern w:val="0"/>
          <w:sz w:val="28"/>
          <w:szCs w:val="28"/>
          <w:u w:val="none"/>
          <w:lang w:val="en-US" w:eastAsia="en-US" w:bidi="ar-SA"/>
        </w:rPr>
        <w:t>V</w:t>
      </w:r>
      <w:r>
        <w:rPr>
          <w:rStyle w:val="Style20"/>
          <w:rFonts w:eastAsia="Calibri" w:cs="Times New Roman" w:ascii="Tinos" w:hAnsi="Tinos"/>
          <w:b w:val="false"/>
          <w:bCs/>
          <w:i w:val="false"/>
          <w:iCs/>
          <w:color w:val="auto"/>
          <w:spacing w:val="0"/>
          <w:kern w:val="0"/>
          <w:sz w:val="28"/>
          <w:szCs w:val="28"/>
          <w:u w:val="none"/>
          <w:lang w:val="ru-RU" w:eastAsia="en-US" w:bidi="ar-SA"/>
        </w:rPr>
        <w:t xml:space="preserve"> классов в соответствии с национальным стандартом, применения пиротехнических изделий </w:t>
      </w:r>
      <w:r>
        <w:rPr>
          <w:rStyle w:val="Style20"/>
          <w:rFonts w:eastAsia="Calibri" w:cs="Times New Roman" w:ascii="Tinos" w:hAnsi="Tinos"/>
          <w:b w:val="false"/>
          <w:bCs/>
          <w:i w:val="false"/>
          <w:iCs/>
          <w:color w:val="auto"/>
          <w:spacing w:val="0"/>
          <w:kern w:val="0"/>
          <w:sz w:val="28"/>
          <w:szCs w:val="28"/>
          <w:u w:val="none"/>
          <w:lang w:val="en-US" w:eastAsia="en-US" w:bidi="ar-SA"/>
        </w:rPr>
        <w:t>IV</w:t>
      </w:r>
      <w:r>
        <w:rPr>
          <w:rStyle w:val="Style20"/>
          <w:rFonts w:eastAsia="Calibri" w:cs="Times New Roman" w:ascii="Tinos" w:hAnsi="Tinos"/>
          <w:b w:val="false"/>
          <w:bCs/>
          <w:i w:val="false"/>
          <w:iCs/>
          <w:color w:val="auto"/>
          <w:spacing w:val="0"/>
          <w:kern w:val="0"/>
          <w:sz w:val="28"/>
          <w:szCs w:val="28"/>
          <w:u w:val="none"/>
          <w:lang w:val="ru-RU" w:eastAsia="en-US" w:bidi="ar-SA"/>
        </w:rPr>
        <w:t xml:space="preserve"> и </w:t>
      </w:r>
      <w:r>
        <w:rPr>
          <w:rStyle w:val="Style20"/>
          <w:rFonts w:eastAsia="Calibri" w:cs="Times New Roman" w:ascii="Tinos" w:hAnsi="Tinos"/>
          <w:b w:val="false"/>
          <w:bCs/>
          <w:i w:val="false"/>
          <w:iCs/>
          <w:color w:val="auto"/>
          <w:spacing w:val="0"/>
          <w:kern w:val="0"/>
          <w:sz w:val="28"/>
          <w:szCs w:val="28"/>
          <w:u w:val="none"/>
          <w:lang w:val="en-US" w:eastAsia="en-US" w:bidi="ar-SA"/>
        </w:rPr>
        <w:t>V</w:t>
      </w:r>
      <w:r>
        <w:rPr>
          <w:rStyle w:val="Style20"/>
          <w:rFonts w:eastAsia="Calibri" w:cs="Times New Roman" w:ascii="Tinos" w:hAnsi="Tinos"/>
          <w:b w:val="false"/>
          <w:bCs/>
          <w:i w:val="false"/>
          <w:iCs/>
          <w:color w:val="auto"/>
          <w:spacing w:val="0"/>
          <w:kern w:val="0"/>
          <w:sz w:val="28"/>
          <w:szCs w:val="28"/>
          <w:u w:val="none"/>
          <w:lang w:val="ru-RU" w:eastAsia="en-US" w:bidi="ar-SA"/>
        </w:rPr>
        <w:t xml:space="preserve"> классов в соответствии с техническим регламентом».</w:t>
      </w:r>
    </w:p>
    <w:p>
      <w:pPr>
        <w:pStyle w:val="Normal"/>
        <w:spacing w:lineRule="auto" w:line="240" w:before="0" w:after="0"/>
        <w:ind w:left="0" w:right="0" w:hanging="0"/>
        <w:jc w:val="both"/>
        <w:rPr/>
      </w:pPr>
      <w:r>
        <w:rPr>
          <w:rFonts w:ascii="Tinos" w:hAnsi="Tinos"/>
          <w:sz w:val="28"/>
          <w:szCs w:val="28"/>
        </w:rPr>
        <w:tab/>
        <w:tab/>
        <w:tab/>
        <w:tab/>
      </w:r>
    </w:p>
    <w:p>
      <w:pPr>
        <w:pStyle w:val="Normal"/>
        <w:spacing w:lineRule="auto" w:line="240" w:before="0" w:after="0"/>
        <w:ind w:left="0" w:right="0" w:hanging="0"/>
        <w:jc w:val="center"/>
        <w:rPr/>
      </w:pPr>
      <w:r>
        <w:rPr>
          <w:rFonts w:ascii="Tinos" w:hAnsi="Tinos"/>
          <w:sz w:val="28"/>
          <w:szCs w:val="28"/>
        </w:rPr>
        <w:t>Приказы Росгвардии: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nos" w:hAnsi="Tinos"/>
          <w:sz w:val="28"/>
          <w:szCs w:val="28"/>
        </w:rPr>
      </w:pPr>
      <w:r>
        <w:rPr>
          <w:rFonts w:ascii="Tinos" w:hAnsi="Tinos"/>
          <w:sz w:val="28"/>
          <w:szCs w:val="28"/>
        </w:rPr>
      </w:r>
    </w:p>
    <w:p>
      <w:pPr>
        <w:pStyle w:val="Normal"/>
        <w:spacing w:lineRule="auto" w:line="240" w:before="0" w:after="0"/>
        <w:ind w:left="0" w:right="0" w:hanging="0"/>
        <w:jc w:val="both"/>
        <w:rPr/>
      </w:pPr>
      <w:r>
        <w:rPr>
          <w:rFonts w:ascii="Tinos" w:hAnsi="Tinos"/>
          <w:sz w:val="28"/>
          <w:szCs w:val="28"/>
        </w:rPr>
        <w:tab/>
        <w:t>- от 27 февраля 2019 г. № 63 «Об утверждении Административного регламента Федеральной службы войск национальной гвардии Российской Федерации по предоставлению государственной услуги по выдаче юридическому лицу лицензии на приобретение гражданского, служебного оружия и патронов»;</w:t>
      </w:r>
    </w:p>
    <w:p>
      <w:pPr>
        <w:pStyle w:val="Normal"/>
        <w:spacing w:lineRule="auto" w:line="240" w:before="0" w:after="0"/>
        <w:ind w:left="0" w:right="0" w:hanging="0"/>
        <w:jc w:val="both"/>
        <w:rPr/>
      </w:pPr>
      <w:r>
        <w:rPr>
          <w:rFonts w:ascii="Tinos" w:hAnsi="Tinos"/>
          <w:sz w:val="28"/>
          <w:szCs w:val="28"/>
        </w:rPr>
        <w:tab/>
        <w:t>- от 28 сентября 2019 г. № 336 «Об утверждении Административного регламента Федеральной службы войск национальной гвардии Российской Федерации по предоставлению государственной услуги по выдаче юридическому лицу, занимающемуся производством или торговлей оружием и патронами, разрешения на хранение оружия и патронов»;</w:t>
      </w:r>
    </w:p>
    <w:p>
      <w:pPr>
        <w:pStyle w:val="Normal"/>
        <w:spacing w:lineRule="auto" w:line="240" w:before="0" w:after="0"/>
        <w:ind w:left="0" w:right="0" w:hanging="0"/>
        <w:jc w:val="both"/>
        <w:rPr/>
      </w:pPr>
      <w:r>
        <w:rPr>
          <w:rFonts w:cs="XO Thames" w:ascii="Tinos" w:hAnsi="Tinos"/>
          <w:b w:val="false"/>
          <w:bCs w:val="false"/>
          <w:color w:val="000000"/>
          <w:sz w:val="28"/>
          <w:szCs w:val="28"/>
        </w:rPr>
        <w:tab/>
        <w:t>- от 30 ноября 2020 г. № 474 «Об утверждении Административного регламента Федеральной службы войск национальной гвардии Российской Федерации по предоставлению государственной услуги по лицензированию деятельности по разработке, производству, испытанию, хранению, ремонту и утилизации гражданского и служебного оружия и основных частей огнестрельного оружия, торговле гражданским и служебным оружием и основными частями огнестрельного оружия в части работ (услуг) по хранению гражданского и служебного оружия и основных частей огнестрельного оружия, торговле гражданским и служебным оружием и основными частями огнестрельного оружия»;</w:t>
      </w:r>
    </w:p>
    <w:p>
      <w:pPr>
        <w:pStyle w:val="Normal"/>
        <w:spacing w:lineRule="auto" w:line="240" w:before="0" w:after="0"/>
        <w:ind w:left="0" w:right="0" w:hanging="0"/>
        <w:jc w:val="both"/>
        <w:rPr/>
      </w:pPr>
      <w:r>
        <w:rPr>
          <w:rFonts w:cs="XO Thames" w:ascii="Tinos" w:hAnsi="Tinos"/>
          <w:b w:val="false"/>
          <w:bCs w:val="false"/>
          <w:color w:val="000000"/>
          <w:sz w:val="28"/>
          <w:szCs w:val="28"/>
        </w:rPr>
        <w:tab/>
        <w:t xml:space="preserve">- от 26 сентября 2019 г. </w:t>
      </w:r>
      <w:r>
        <w:rPr>
          <w:rFonts w:eastAsia="Calibri" w:cs="XO Thames" w:ascii="Tinos" w:hAnsi="Tinos"/>
          <w:b w:val="false"/>
          <w:bCs w:val="false"/>
          <w:color w:val="000000"/>
          <w:kern w:val="0"/>
          <w:sz w:val="28"/>
          <w:szCs w:val="28"/>
          <w:lang w:val="ru-RU" w:eastAsia="en-US" w:bidi="ar-SA"/>
        </w:rPr>
        <w:t>№</w:t>
      </w:r>
      <w:r>
        <w:rPr>
          <w:rFonts w:cs="XO Thames" w:ascii="Tinos" w:hAnsi="Tinos"/>
          <w:b w:val="false"/>
          <w:bCs w:val="false"/>
          <w:color w:val="000000"/>
          <w:sz w:val="28"/>
          <w:szCs w:val="28"/>
        </w:rPr>
        <w:t xml:space="preserve"> 329 «Об утверждении Административного регламента Федеральной службы войск национальной гвардии Российской Федерации по предоставлению государственной услуги по выдаче юридическому лицу или гражданину Российской Федерации разрешения на транспортирование оружия и (или) патронов»;</w:t>
      </w:r>
    </w:p>
    <w:p>
      <w:pPr>
        <w:pStyle w:val="Normal"/>
        <w:spacing w:lineRule="auto" w:line="240" w:before="0" w:after="0"/>
        <w:ind w:left="0" w:right="0" w:hanging="0"/>
        <w:jc w:val="both"/>
        <w:rPr/>
      </w:pPr>
      <w:r>
        <w:rPr>
          <w:rFonts w:cs="XO Thames" w:ascii="Tinos" w:hAnsi="Tinos"/>
          <w:b w:val="false"/>
          <w:bCs w:val="false"/>
          <w:color w:val="000000"/>
          <w:sz w:val="28"/>
          <w:szCs w:val="28"/>
        </w:rPr>
        <w:tab/>
        <w:t xml:space="preserve">- </w:t>
      </w:r>
      <w:r>
        <w:rPr>
          <w:rStyle w:val="Style20"/>
          <w:rFonts w:eastAsia="Times New Roman" w:cs="Times New Roman" w:ascii="Tinos" w:hAnsi="Tinos"/>
          <w:b w:val="false"/>
          <w:bCs w:val="false"/>
          <w:i w:val="false"/>
          <w:iCs w:val="false"/>
          <w:color w:val="auto"/>
          <w:spacing w:val="0"/>
          <w:kern w:val="0"/>
          <w:sz w:val="28"/>
          <w:szCs w:val="28"/>
          <w:u w:val="none"/>
          <w:lang w:val="ru-RU" w:eastAsia="x-none" w:bidi="ar-SA"/>
        </w:rPr>
        <w:t>от 14 января 2020 г. № 8 «Административный регламент Федеральной службы войск национальной гвардии Российской Федерации по осуществлению федерального государственного контроля (надзора) за соблюдением законодательства Российской Федерации в области оборота оружия, утвержденный приказом Федеральной службы войск национальной гвардии Российской Федерации»;</w:t>
      </w:r>
    </w:p>
    <w:p>
      <w:pPr>
        <w:pStyle w:val="Normal"/>
        <w:spacing w:lineRule="auto" w:line="240" w:before="0" w:after="0"/>
        <w:ind w:left="0" w:right="0" w:hanging="0"/>
        <w:jc w:val="both"/>
        <w:rPr/>
      </w:pPr>
      <w:r>
        <w:rPr>
          <w:rStyle w:val="Style20"/>
          <w:rFonts w:eastAsia="Times New Roman" w:cs="Times New Roman" w:ascii="Tinos" w:hAnsi="Tinos"/>
          <w:b w:val="false"/>
          <w:bCs w:val="false"/>
          <w:i w:val="false"/>
          <w:iCs w:val="false"/>
          <w:color w:val="auto"/>
          <w:spacing w:val="0"/>
          <w:kern w:val="0"/>
          <w:sz w:val="28"/>
          <w:szCs w:val="28"/>
          <w:u w:val="none"/>
          <w:lang w:val="ru-RU" w:eastAsia="x-none" w:bidi="ar-SA"/>
        </w:rPr>
        <w:tab/>
        <w:t>- от 30 ноября 2020 г. № 477 «Административный регламент Федеральной службы войск национальной гвардии Российской Федерации по предоставлению государственной услуги по лицензированию частной охранной деятельности, утвержденный приказом Федеральной службы войск национальной гвардии Российской Федерации»;</w:t>
      </w:r>
    </w:p>
    <w:p>
      <w:pPr>
        <w:pStyle w:val="Normal"/>
        <w:spacing w:lineRule="auto" w:line="240" w:before="0" w:after="0"/>
        <w:ind w:left="0" w:right="0" w:hanging="0"/>
        <w:jc w:val="both"/>
        <w:rPr/>
      </w:pPr>
      <w:r>
        <w:rPr>
          <w:rStyle w:val="Style20"/>
          <w:rFonts w:eastAsia="Times New Roman" w:cs="Times New Roman" w:ascii="Tinos" w:hAnsi="Tinos"/>
          <w:b w:val="false"/>
          <w:bCs w:val="false"/>
          <w:i w:val="false"/>
          <w:iCs w:val="false"/>
          <w:color w:val="auto"/>
          <w:spacing w:val="0"/>
          <w:kern w:val="0"/>
          <w:sz w:val="28"/>
          <w:szCs w:val="28"/>
          <w:u w:val="none"/>
          <w:lang w:val="ru-RU" w:eastAsia="x-none" w:bidi="ar-SA"/>
        </w:rPr>
        <w:tab/>
        <w:t xml:space="preserve">- </w:t>
      </w:r>
      <w:r>
        <w:rPr>
          <w:rStyle w:val="Style20"/>
          <w:rFonts w:eastAsia="Calibri" w:cs="XO Thames" w:ascii="Tinos" w:hAnsi="Tinos"/>
          <w:b w:val="false"/>
          <w:bCs w:val="false"/>
          <w:i w:val="false"/>
          <w:iCs w:val="false"/>
          <w:color w:val="auto"/>
          <w:spacing w:val="0"/>
          <w:kern w:val="0"/>
          <w:sz w:val="28"/>
          <w:szCs w:val="28"/>
          <w:u w:val="none"/>
          <w:lang w:val="ru-RU" w:eastAsia="en-US" w:bidi="ar-SA"/>
        </w:rPr>
        <w:t>от 30 ноября 2019 г. № 395 «Административный регламент Федеральной службы войск национальной гвардии Российской Федерации по осуществлению федерального государственного контроля (надзора) за соблюдением законодательства Российской Федерации в области частной охранной деятельности, утвержденного приказом Федеральной службы войск национальной гвардии Российской Федерации»;</w:t>
      </w:r>
    </w:p>
    <w:p>
      <w:pPr>
        <w:pStyle w:val="Normal"/>
        <w:spacing w:lineRule="auto" w:line="240" w:before="0" w:after="0"/>
        <w:ind w:left="0" w:right="0" w:hanging="0"/>
        <w:jc w:val="both"/>
        <w:rPr/>
      </w:pPr>
      <w:r>
        <w:rPr>
          <w:rStyle w:val="Style20"/>
          <w:rFonts w:eastAsia="Calibri" w:cs="XO Thames" w:ascii="Tinos" w:hAnsi="Tinos"/>
          <w:b w:val="false"/>
          <w:bCs w:val="false"/>
          <w:i w:val="false"/>
          <w:iCs w:val="false"/>
          <w:color w:val="auto"/>
          <w:spacing w:val="0"/>
          <w:kern w:val="0"/>
          <w:sz w:val="28"/>
          <w:szCs w:val="28"/>
          <w:u w:val="none"/>
          <w:lang w:val="ru-RU" w:eastAsia="en-US" w:bidi="ar-SA"/>
        </w:rPr>
        <w:tab/>
        <w:t xml:space="preserve">- </w:t>
      </w:r>
      <w:r>
        <w:rPr>
          <w:rStyle w:val="Style20"/>
          <w:rFonts w:eastAsia="Calibri" w:cs="Times New Roman" w:ascii="Tinos" w:hAnsi="Tinos"/>
          <w:b w:val="false"/>
          <w:bCs/>
          <w:i w:val="false"/>
          <w:iCs w:val="false"/>
          <w:color w:val="auto"/>
          <w:spacing w:val="0"/>
          <w:kern w:val="0"/>
          <w:sz w:val="28"/>
          <w:szCs w:val="28"/>
          <w:u w:val="none"/>
          <w:lang w:val="ru-RU" w:eastAsia="en-US" w:bidi="ar-SA"/>
        </w:rPr>
        <w:t>от 06 июля 2023 г. № 239 «Об утверждении форм и Порядка ведения документов учета оружия и патронов юридическими лицами, имеющими право на приобретение оружия, указанными в пунктах 2 - 7 статьи 10 Федерального закона от 13 декабря 1996 г. № 150-ФЗ                   «Об оружии», занимающимися для выполнения своих уставных задач исследованием, разработкой, испытанием, изготовлением и художественной отделкой оружия и патронов к нему, а также испытанием изделий на пулестойкость»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nos" w:hAnsi="Tinos" w:cs="XO Thames"/>
          <w:b w:val="false"/>
          <w:b w:val="false"/>
          <w:bCs w:val="false"/>
          <w:color w:val="000000"/>
          <w:sz w:val="28"/>
          <w:szCs w:val="28"/>
        </w:rPr>
      </w:pPr>
      <w:r>
        <w:rPr>
          <w:rFonts w:cs="XO Thames" w:ascii="Tinos" w:hAnsi="Tinos"/>
          <w:b w:val="false"/>
          <w:bCs w:val="false"/>
          <w:color w:val="000000"/>
          <w:sz w:val="28"/>
          <w:szCs w:val="28"/>
        </w:rPr>
      </w:r>
    </w:p>
    <w:p>
      <w:pPr>
        <w:pStyle w:val="Normal"/>
        <w:tabs>
          <w:tab w:val="clear" w:pos="708"/>
          <w:tab w:val="left" w:pos="1134" w:leader="none"/>
          <w:tab w:val="left" w:pos="1560" w:leader="none"/>
        </w:tabs>
        <w:spacing w:lineRule="auto" w:line="240" w:before="0" w:after="0"/>
        <w:ind w:left="0" w:right="0" w:hanging="0"/>
        <w:jc w:val="center"/>
        <w:rPr/>
      </w:pPr>
      <w:r>
        <w:rPr>
          <w:rFonts w:eastAsia="Calibri" w:cs="XO Thames" w:ascii="Tinos" w:hAnsi="Tinos" w:eastAsiaTheme="minorHAnsi"/>
          <w:color w:val="auto"/>
          <w:kern w:val="0"/>
          <w:sz w:val="28"/>
          <w:szCs w:val="28"/>
          <w:lang w:val="ru-RU" w:eastAsia="en-US" w:bidi="ar-SA"/>
        </w:rPr>
        <w:t>П</w:t>
      </w:r>
      <w:r>
        <w:rPr>
          <w:rFonts w:cs="XO Thames" w:ascii="Tinos" w:hAnsi="Tinos"/>
          <w:sz w:val="28"/>
          <w:szCs w:val="28"/>
        </w:rPr>
        <w:t>риказы других ведомств:</w:t>
      </w:r>
    </w:p>
    <w:p>
      <w:pPr>
        <w:pStyle w:val="Normal"/>
        <w:spacing w:lineRule="auto" w:line="240" w:before="0" w:after="0"/>
        <w:ind w:left="0" w:right="0" w:hanging="0"/>
        <w:jc w:val="both"/>
        <w:rPr/>
      </w:pPr>
      <w:r>
        <w:rPr>
          <w:rFonts w:cs="XO Thames" w:ascii="Tinos" w:hAnsi="Tinos"/>
          <w:sz w:val="28"/>
          <w:szCs w:val="28"/>
        </w:rPr>
        <w:t>МВД России: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hanging="0"/>
        <w:jc w:val="both"/>
        <w:rPr>
          <w:rFonts w:ascii="Tinos" w:hAnsi="Tinos" w:eastAsia="Times New Roman" w:cs="XO Thames"/>
          <w:b/>
          <w:b/>
          <w:bCs/>
          <w:i w:val="false"/>
          <w:i w:val="false"/>
          <w:iCs w:val="false"/>
          <w:sz w:val="28"/>
          <w:szCs w:val="28"/>
          <w:lang w:eastAsia="ru-RU"/>
        </w:rPr>
      </w:pPr>
      <w:r>
        <w:rPr>
          <w:rFonts w:cs="XO Thames" w:ascii="Tinos" w:hAnsi="Tinos"/>
          <w:sz w:val="28"/>
          <w:szCs w:val="28"/>
        </w:rPr>
        <w:tab/>
        <w:t>- от 12 апреля 1999 г. № 288 «О мерах по реализации постановления Правительства Российской Федерации от 21 июля 1998 г. № 814».</w:t>
      </w:r>
    </w:p>
    <w:p>
      <w:pPr>
        <w:pStyle w:val="ConsPlusNormal"/>
        <w:spacing w:lineRule="auto" w:line="240" w:before="0" w:after="0"/>
        <w:ind w:left="0" w:right="0" w:hanging="0"/>
        <w:jc w:val="both"/>
        <w:rPr>
          <w:rFonts w:ascii="Tinos" w:hAnsi="Tinos"/>
          <w:sz w:val="28"/>
          <w:szCs w:val="28"/>
        </w:rPr>
      </w:pPr>
      <w:r>
        <w:rPr>
          <w:rFonts w:ascii="Tinos" w:hAnsi="Tinos"/>
          <w:sz w:val="28"/>
          <w:szCs w:val="28"/>
        </w:rPr>
      </w:r>
    </w:p>
    <w:p>
      <w:pPr>
        <w:pStyle w:val="Style22"/>
        <w:spacing w:lineRule="auto" w:line="240" w:before="0" w:after="0"/>
        <w:ind w:left="0" w:right="0" w:hanging="0"/>
        <w:jc w:val="center"/>
        <w:rPr/>
      </w:pPr>
      <w:r>
        <w:rPr>
          <w:rFonts w:ascii="Tinos" w:hAnsi="Tinos"/>
          <w:b/>
          <w:bCs/>
          <w:i w:val="false"/>
          <w:iCs w:val="false"/>
          <w:sz w:val="28"/>
          <w:szCs w:val="28"/>
        </w:rPr>
        <w:t>Статистические показатели состояния подконтрольной сферы</w:t>
      </w:r>
    </w:p>
    <w:p>
      <w:pPr>
        <w:pStyle w:val="Style22"/>
        <w:spacing w:lineRule="auto" w:line="240" w:before="0" w:after="0"/>
        <w:ind w:left="0" w:right="0" w:hanging="0"/>
        <w:jc w:val="center"/>
        <w:rPr>
          <w:rFonts w:ascii="Tinos" w:hAnsi="Tinos"/>
          <w:b/>
          <w:b/>
          <w:bCs/>
          <w:i w:val="false"/>
          <w:i w:val="false"/>
          <w:iCs w:val="false"/>
          <w:sz w:val="28"/>
          <w:szCs w:val="28"/>
        </w:rPr>
      </w:pPr>
      <w:r>
        <w:rPr>
          <w:rFonts w:ascii="Tinos" w:hAnsi="Tinos"/>
          <w:b/>
          <w:bCs/>
          <w:i w:val="false"/>
          <w:iCs w:val="false"/>
          <w:sz w:val="28"/>
          <w:szCs w:val="28"/>
        </w:rPr>
      </w:r>
    </w:p>
    <w:p>
      <w:pPr>
        <w:pStyle w:val="ConsPlusNormal"/>
        <w:widowControl w:val="false"/>
        <w:suppressAutoHyphens w:val="true"/>
        <w:overflowPunct w:val="false"/>
        <w:bidi w:val="0"/>
        <w:spacing w:lineRule="auto" w:line="240" w:before="0" w:after="0"/>
        <w:ind w:left="0" w:right="0" w:hanging="0"/>
        <w:jc w:val="both"/>
        <w:rPr/>
      </w:pPr>
      <w:r>
        <w:rPr>
          <w:rFonts w:ascii="Tinos" w:hAnsi="Tinos"/>
          <w:sz w:val="28"/>
          <w:szCs w:val="28"/>
        </w:rPr>
        <w:tab/>
        <w:t>За 6 месяцев 202</w:t>
      </w:r>
      <w:r>
        <w:rPr>
          <w:rFonts w:eastAsia="Times New Roman" w:cs="Arial" w:ascii="Tinos" w:hAnsi="Tinos"/>
          <w:color w:val="auto"/>
          <w:kern w:val="0"/>
          <w:sz w:val="28"/>
          <w:szCs w:val="28"/>
          <w:lang w:val="ru-RU" w:eastAsia="ru-RU" w:bidi="ar-SA"/>
        </w:rPr>
        <w:t>5</w:t>
      </w:r>
      <w:r>
        <w:rPr>
          <w:rFonts w:ascii="Tinos" w:hAnsi="Tinos"/>
          <w:sz w:val="28"/>
          <w:szCs w:val="28"/>
        </w:rPr>
        <w:t xml:space="preserve"> года в</w:t>
      </w:r>
      <w:r>
        <w:rPr>
          <w:rFonts w:eastAsia="Times New Roman" w:cs="Arial" w:ascii="Tinos" w:hAnsi="Tinos"/>
          <w:color w:val="auto"/>
          <w:kern w:val="0"/>
          <w:sz w:val="28"/>
          <w:szCs w:val="28"/>
          <w:lang w:val="ru-RU" w:eastAsia="ru-RU" w:bidi="ar-SA"/>
        </w:rPr>
        <w:t xml:space="preserve"> отношении юридических лиц</w:t>
      </w:r>
      <w:r>
        <w:rPr>
          <w:rFonts w:eastAsia="Times New Roman" w:cs="Times New Roman" w:ascii="Tinos" w:hAnsi="Tinos"/>
          <w:sz w:val="28"/>
          <w:szCs w:val="28"/>
          <w:lang w:eastAsia="ru-RU"/>
        </w:rPr>
        <w:t>,</w:t>
      </w:r>
      <w:r>
        <w:rPr>
          <w:rFonts w:ascii="Tinos" w:hAnsi="Tinos"/>
          <w:sz w:val="28"/>
          <w:szCs w:val="28"/>
        </w:rPr>
        <w:t xml:space="preserve"> проведен</w:t>
      </w:r>
      <w:r>
        <w:rPr>
          <w:rFonts w:eastAsia="Times New Roman" w:cs="Arial" w:ascii="Tinos" w:hAnsi="Tinos"/>
          <w:color w:val="auto"/>
          <w:kern w:val="0"/>
          <w:sz w:val="28"/>
          <w:szCs w:val="28"/>
          <w:lang w:val="ru-RU" w:eastAsia="ru-RU" w:bidi="ar-SA"/>
        </w:rPr>
        <w:t>о</w:t>
      </w:r>
      <w:r>
        <w:rPr>
          <w:rFonts w:ascii="Tinos" w:hAnsi="Tinos"/>
          <w:sz w:val="28"/>
          <w:szCs w:val="28"/>
        </w:rPr>
        <w:t xml:space="preserve"> </w:t>
      </w:r>
      <w:r>
        <w:rPr>
          <w:rFonts w:eastAsia="Times New Roman" w:cs="Arial" w:ascii="Tinos" w:hAnsi="Tinos"/>
          <w:color w:val="auto"/>
          <w:kern w:val="0"/>
          <w:sz w:val="28"/>
          <w:szCs w:val="28"/>
          <w:lang w:val="ru-RU" w:eastAsia="ru-RU" w:bidi="ar-SA"/>
        </w:rPr>
        <w:t>3 плановые проверки.</w:t>
      </w:r>
    </w:p>
    <w:p>
      <w:pPr>
        <w:pStyle w:val="ConsPlusNormal"/>
        <w:widowControl w:val="false"/>
        <w:suppressAutoHyphens w:val="true"/>
        <w:overflowPunct w:val="false"/>
        <w:bidi w:val="0"/>
        <w:spacing w:lineRule="auto" w:line="240" w:before="0" w:after="0"/>
        <w:ind w:left="0" w:right="0" w:hanging="0"/>
        <w:jc w:val="both"/>
        <w:rPr/>
      </w:pPr>
      <w:r>
        <w:rPr>
          <w:rFonts w:ascii="Tinos" w:hAnsi="Tinos"/>
          <w:sz w:val="28"/>
          <w:szCs w:val="28"/>
        </w:rPr>
        <w:tab/>
        <w:t>За 6 месяцев 202</w:t>
      </w:r>
      <w:r>
        <w:rPr>
          <w:rFonts w:eastAsia="Times New Roman" w:cs="Arial" w:ascii="Tinos" w:hAnsi="Tinos"/>
          <w:color w:val="auto"/>
          <w:kern w:val="0"/>
          <w:sz w:val="28"/>
          <w:szCs w:val="28"/>
          <w:lang w:val="ru-RU" w:eastAsia="ru-RU" w:bidi="ar-SA"/>
        </w:rPr>
        <w:t>5</w:t>
      </w:r>
      <w:r>
        <w:rPr>
          <w:rFonts w:ascii="Tinos" w:hAnsi="Tinos"/>
          <w:sz w:val="28"/>
          <w:szCs w:val="28"/>
        </w:rPr>
        <w:t xml:space="preserve"> год</w:t>
      </w:r>
      <w:r>
        <w:rPr>
          <w:rFonts w:eastAsia="Times New Roman" w:cs="Arial" w:ascii="Tinos" w:hAnsi="Tinos"/>
          <w:color w:val="auto"/>
          <w:kern w:val="0"/>
          <w:sz w:val="28"/>
          <w:szCs w:val="28"/>
          <w:lang w:val="ru-RU" w:eastAsia="ru-RU" w:bidi="ar-SA"/>
        </w:rPr>
        <w:t>а</w:t>
      </w:r>
      <w:r>
        <w:rPr>
          <w:rFonts w:ascii="Tinos" w:hAnsi="Tinos"/>
          <w:sz w:val="28"/>
          <w:szCs w:val="28"/>
        </w:rPr>
        <w:t xml:space="preserve"> к проверке </w:t>
      </w:r>
      <w:r>
        <w:rPr>
          <w:rFonts w:eastAsia="Times New Roman" w:cs="Arial" w:ascii="Tinos" w:hAnsi="Tinos"/>
          <w:color w:val="000000"/>
          <w:kern w:val="0"/>
          <w:sz w:val="28"/>
          <w:szCs w:val="28"/>
          <w:lang w:val="ru-RU" w:eastAsia="zh-CN" w:bidi="ar-SA"/>
        </w:rPr>
        <w:t xml:space="preserve">подвергнуто — 3 </w:t>
      </w:r>
      <w:r>
        <w:rPr>
          <w:rFonts w:eastAsia="Times New Roman" w:cs="Times New Roman" w:ascii="Tinos" w:hAnsi="Tinos"/>
          <w:color w:val="000000"/>
          <w:kern w:val="0"/>
          <w:sz w:val="28"/>
          <w:szCs w:val="28"/>
          <w:lang w:val="ru-RU" w:eastAsia="ru-RU" w:bidi="ar-SA"/>
        </w:rPr>
        <w:t>юридических лица</w:t>
      </w:r>
      <w:r>
        <w:rPr>
          <w:rFonts w:eastAsia="Times New Roman" w:cs="Arial" w:ascii="Tinos" w:hAnsi="Tinos"/>
          <w:color w:val="000000"/>
          <w:kern w:val="0"/>
          <w:sz w:val="28"/>
          <w:szCs w:val="28"/>
          <w:lang w:val="ru-RU" w:eastAsia="zh-CN" w:bidi="ar-SA"/>
        </w:rPr>
        <w:t>, из 7 (42,8 %) .</w:t>
      </w:r>
    </w:p>
    <w:p>
      <w:pPr>
        <w:pStyle w:val="ConsPlusNormal"/>
        <w:widowControl w:val="false"/>
        <w:suppressAutoHyphens w:val="true"/>
        <w:overflowPunct w:val="false"/>
        <w:bidi w:val="0"/>
        <w:spacing w:lineRule="auto" w:line="240" w:before="0" w:after="0"/>
        <w:ind w:left="0" w:right="0" w:hanging="0"/>
        <w:jc w:val="both"/>
        <w:rPr/>
      </w:pPr>
      <w:r>
        <w:rPr>
          <w:rFonts w:ascii="Tinos" w:hAnsi="Tinos"/>
          <w:sz w:val="28"/>
          <w:szCs w:val="28"/>
        </w:rPr>
        <w:tab/>
        <w:t>В ходе проведенн</w:t>
      </w:r>
      <w:r>
        <w:rPr>
          <w:rFonts w:eastAsia="Times New Roman" w:cs="Arial" w:ascii="Tinos" w:hAnsi="Tinos"/>
          <w:color w:val="auto"/>
          <w:kern w:val="0"/>
          <w:sz w:val="28"/>
          <w:szCs w:val="28"/>
          <w:lang w:val="ru-RU" w:eastAsia="ru-RU" w:bidi="ar-SA"/>
        </w:rPr>
        <w:t>ой</w:t>
      </w:r>
      <w:r>
        <w:rPr>
          <w:rFonts w:ascii="Tinos" w:hAnsi="Tinos"/>
          <w:sz w:val="28"/>
          <w:szCs w:val="28"/>
        </w:rPr>
        <w:t xml:space="preserve"> провер</w:t>
      </w:r>
      <w:r>
        <w:rPr>
          <w:rFonts w:eastAsia="Times New Roman" w:cs="Arial" w:ascii="Tinos" w:hAnsi="Tinos"/>
          <w:color w:val="auto"/>
          <w:kern w:val="0"/>
          <w:sz w:val="28"/>
          <w:szCs w:val="28"/>
          <w:lang w:val="ru-RU" w:eastAsia="ru-RU" w:bidi="ar-SA"/>
        </w:rPr>
        <w:t>ки</w:t>
      </w:r>
      <w:r>
        <w:rPr>
          <w:rFonts w:ascii="Tinos" w:hAnsi="Tinos"/>
          <w:sz w:val="28"/>
          <w:szCs w:val="28"/>
        </w:rPr>
        <w:t xml:space="preserve"> нарушени</w:t>
      </w:r>
      <w:r>
        <w:rPr>
          <w:rFonts w:eastAsia="Times New Roman" w:cs="Arial" w:ascii="Tinos" w:hAnsi="Tinos"/>
          <w:color w:val="auto"/>
          <w:kern w:val="0"/>
          <w:sz w:val="28"/>
          <w:szCs w:val="28"/>
          <w:lang w:val="ru-RU" w:eastAsia="ru-RU" w:bidi="ar-SA"/>
        </w:rPr>
        <w:t>й</w:t>
      </w:r>
      <w:r>
        <w:rPr>
          <w:rFonts w:ascii="Tinos" w:hAnsi="Tinos"/>
          <w:sz w:val="28"/>
          <w:szCs w:val="28"/>
        </w:rPr>
        <w:t xml:space="preserve"> требований законодательства Российской Федерации, выявлен</w:t>
      </w:r>
      <w:r>
        <w:rPr>
          <w:rFonts w:eastAsia="Times New Roman" w:cs="Arial" w:ascii="Tinos" w:hAnsi="Tinos"/>
          <w:color w:val="auto"/>
          <w:kern w:val="0"/>
          <w:sz w:val="28"/>
          <w:szCs w:val="28"/>
          <w:lang w:val="ru-RU" w:eastAsia="ru-RU" w:bidi="ar-SA"/>
        </w:rPr>
        <w:t>ы (ООО ЧОП «Кобра»)</w:t>
      </w:r>
      <w:r>
        <w:rPr>
          <w:rFonts w:ascii="Tinos" w:hAnsi="Tinos"/>
          <w:color w:val="000000"/>
          <w:sz w:val="28"/>
          <w:szCs w:val="28"/>
        </w:rPr>
        <w:t>.</w:t>
      </w:r>
    </w:p>
    <w:p>
      <w:pPr>
        <w:pStyle w:val="Style22"/>
        <w:widowControl/>
        <w:suppressAutoHyphens w:val="true"/>
        <w:overflowPunct w:val="false"/>
        <w:bidi w:val="0"/>
        <w:spacing w:lineRule="auto" w:line="240" w:before="0" w:after="0"/>
        <w:ind w:left="0" w:right="0" w:hanging="0"/>
        <w:jc w:val="both"/>
        <w:rPr>
          <w:rFonts w:ascii="Tinos" w:hAnsi="Tinos" w:eastAsia="Times New Roman" w:cs="Times New Roman"/>
          <w:b w:val="false"/>
          <w:b w:val="false"/>
          <w:strike w:val="false"/>
          <w:dstrike w:val="false"/>
          <w:color w:val="000000"/>
          <w:kern w:val="0"/>
          <w:sz w:val="28"/>
          <w:szCs w:val="28"/>
          <w:u w:val="none"/>
          <w:effect w:val="none"/>
          <w:lang w:val="ru-RU" w:eastAsia="zh-CN" w:bidi="ar-SA"/>
        </w:rPr>
      </w:pPr>
      <w:r>
        <w:rPr>
          <w:rFonts w:eastAsia="Times New Roman" w:cs="Times New Roman" w:ascii="Tinos" w:hAnsi="Tinos"/>
          <w:b w:val="false"/>
          <w:strike w:val="false"/>
          <w:dstrike w:val="false"/>
          <w:color w:val="000000"/>
          <w:kern w:val="0"/>
          <w:sz w:val="28"/>
          <w:szCs w:val="28"/>
          <w:u w:val="none"/>
          <w:effect w:val="none"/>
          <w:lang w:val="ru-RU" w:eastAsia="zh-CN" w:bidi="ar-SA"/>
        </w:rPr>
      </w:r>
    </w:p>
    <w:p>
      <w:pPr>
        <w:pStyle w:val="Style22"/>
        <w:spacing w:lineRule="auto" w:line="240" w:before="0" w:after="0"/>
        <w:ind w:left="0" w:right="0" w:hanging="0"/>
        <w:jc w:val="center"/>
        <w:rPr/>
      </w:pPr>
      <w:r>
        <w:rPr>
          <w:rFonts w:ascii="Tinos" w:hAnsi="Tinos"/>
          <w:b/>
          <w:bCs/>
          <w:i w:val="false"/>
          <w:iCs w:val="false"/>
          <w:sz w:val="28"/>
          <w:szCs w:val="28"/>
        </w:rPr>
        <w:t>Целевые показатели</w:t>
      </w:r>
      <w:r>
        <w:rPr>
          <w:rFonts w:ascii="Tinos" w:hAnsi="Tinos"/>
          <w:i w:val="false"/>
          <w:iCs w:val="false"/>
          <w:sz w:val="28"/>
          <w:szCs w:val="28"/>
        </w:rPr>
        <w:t xml:space="preserve"> </w:t>
      </w:r>
    </w:p>
    <w:p>
      <w:pPr>
        <w:pStyle w:val="Style22"/>
        <w:spacing w:lineRule="auto" w:line="240" w:before="0" w:after="0"/>
        <w:ind w:left="0" w:right="0" w:hanging="0"/>
        <w:jc w:val="both"/>
        <w:rPr>
          <w:rFonts w:ascii="Tinos" w:hAnsi="Tinos"/>
          <w:i w:val="false"/>
          <w:i w:val="false"/>
          <w:iCs w:val="false"/>
          <w:sz w:val="28"/>
          <w:szCs w:val="28"/>
        </w:rPr>
      </w:pPr>
      <w:r>
        <w:rPr>
          <w:rFonts w:ascii="Tinos" w:hAnsi="Tinos"/>
          <w:i w:val="false"/>
          <w:iCs w:val="false"/>
          <w:sz w:val="28"/>
          <w:szCs w:val="28"/>
        </w:rPr>
      </w:r>
    </w:p>
    <w:p>
      <w:pPr>
        <w:pStyle w:val="Style22"/>
        <w:spacing w:lineRule="auto" w:line="240" w:before="0" w:after="0"/>
        <w:ind w:left="0" w:right="0" w:hanging="0"/>
        <w:jc w:val="both"/>
        <w:rPr/>
      </w:pPr>
      <w:r>
        <w:rPr>
          <w:rFonts w:ascii="Tinos" w:hAnsi="Tinos"/>
          <w:sz w:val="28"/>
          <w:szCs w:val="28"/>
        </w:rPr>
        <w:tab/>
        <w:t>Показатель снижения количества нарушений обязательных требований законодательства Российской Федерации, допущенных подконтрольными субъектами и выявленных при проведении проверок.</w:t>
      </w:r>
    </w:p>
    <w:p>
      <w:pPr>
        <w:pStyle w:val="ConsPlusNormal"/>
        <w:suppressAutoHyphens w:val="true"/>
        <w:overflowPunct w:val="false"/>
        <w:bidi w:val="0"/>
        <w:spacing w:lineRule="auto" w:line="240" w:before="0" w:after="0"/>
        <w:ind w:left="0" w:right="0" w:hanging="0"/>
        <w:jc w:val="both"/>
        <w:rPr/>
      </w:pPr>
      <w:r>
        <w:rPr>
          <w:rFonts w:eastAsia="Times New Roman" w:cs="Arial" w:ascii="Tinos" w:hAnsi="Tinos"/>
          <w:color w:val="auto"/>
          <w:kern w:val="0"/>
          <w:sz w:val="28"/>
          <w:szCs w:val="28"/>
          <w:lang w:val="ru-RU" w:eastAsia="ru-RU" w:bidi="ar-SA"/>
        </w:rPr>
        <w:tab/>
        <w:t>За 6 месяцев</w:t>
      </w:r>
      <w:r>
        <w:rPr>
          <w:rFonts w:ascii="Tinos" w:hAnsi="Tinos"/>
          <w:sz w:val="28"/>
          <w:szCs w:val="28"/>
        </w:rPr>
        <w:t xml:space="preserve"> 202</w:t>
      </w:r>
      <w:r>
        <w:rPr>
          <w:rFonts w:eastAsia="Times New Roman" w:cs="Arial" w:ascii="Tinos" w:hAnsi="Tinos"/>
          <w:color w:val="auto"/>
          <w:kern w:val="0"/>
          <w:sz w:val="28"/>
          <w:szCs w:val="28"/>
          <w:lang w:val="ru-RU" w:eastAsia="ru-RU" w:bidi="ar-SA"/>
        </w:rPr>
        <w:t>5</w:t>
      </w:r>
      <w:r>
        <w:rPr>
          <w:rFonts w:ascii="Tinos" w:hAnsi="Tinos"/>
          <w:sz w:val="28"/>
          <w:szCs w:val="28"/>
        </w:rPr>
        <w:t xml:space="preserve"> году отмечается </w:t>
      </w:r>
      <w:r>
        <w:rPr>
          <w:rFonts w:eastAsia="Times New Roman" w:cs="Arial" w:ascii="Tinos" w:hAnsi="Tinos"/>
          <w:color w:val="000000"/>
          <w:kern w:val="0"/>
          <w:sz w:val="28"/>
          <w:szCs w:val="28"/>
          <w:lang w:val="ru-RU" w:eastAsia="zh-CN" w:bidi="ar-SA"/>
        </w:rPr>
        <w:t xml:space="preserve">понижение </w:t>
      </w:r>
      <w:r>
        <w:rPr>
          <w:rFonts w:ascii="Tinos" w:hAnsi="Tinos"/>
          <w:sz w:val="28"/>
          <w:szCs w:val="28"/>
        </w:rPr>
        <w:t xml:space="preserve">числа проверочных мероприятий </w:t>
      </w:r>
      <w:r>
        <w:rPr>
          <w:rFonts w:eastAsia="Times New Roman" w:cs="Arial" w:ascii="Tinos" w:hAnsi="Tinos"/>
          <w:color w:val="000000"/>
          <w:kern w:val="0"/>
          <w:sz w:val="28"/>
          <w:szCs w:val="28"/>
          <w:lang w:val="ru-RU" w:eastAsia="zh-CN" w:bidi="ar-SA"/>
        </w:rPr>
        <w:t>на 4 проверки, понижение на 400 % (АППГ- 7 проверок).</w:t>
      </w:r>
    </w:p>
    <w:p>
      <w:pPr>
        <w:pStyle w:val="ConsPlusNormal"/>
        <w:suppressAutoHyphens w:val="true"/>
        <w:overflowPunct w:val="false"/>
        <w:bidi w:val="0"/>
        <w:spacing w:lineRule="auto" w:line="240" w:before="0" w:after="0"/>
        <w:ind w:left="0" w:right="0" w:hanging="0"/>
        <w:jc w:val="both"/>
        <w:rPr/>
      </w:pPr>
      <w:r>
        <w:rPr>
          <w:rFonts w:ascii="Tinos" w:hAnsi="Tinos"/>
          <w:sz w:val="28"/>
          <w:szCs w:val="28"/>
        </w:rPr>
        <w:tab/>
        <w:t xml:space="preserve">Показатель оценивается - </w:t>
      </w:r>
      <w:r>
        <w:rPr>
          <w:rFonts w:eastAsia="Times New Roman" w:cs="Arial" w:ascii="Tinos" w:hAnsi="Tinos"/>
          <w:color w:val="auto"/>
          <w:kern w:val="0"/>
          <w:sz w:val="28"/>
          <w:szCs w:val="28"/>
          <w:lang w:val="ru-RU" w:eastAsia="ru-RU" w:bidi="ar-SA"/>
        </w:rPr>
        <w:t>положительно</w:t>
      </w:r>
      <w:r>
        <w:rPr>
          <w:rFonts w:ascii="Tinos" w:hAnsi="Tinos"/>
          <w:sz w:val="28"/>
          <w:szCs w:val="28"/>
        </w:rPr>
        <w:t>.</w:t>
      </w:r>
    </w:p>
    <w:p>
      <w:pPr>
        <w:pStyle w:val="ConsPlusNormal"/>
        <w:suppressAutoHyphens w:val="true"/>
        <w:overflowPunct w:val="false"/>
        <w:bidi w:val="0"/>
        <w:spacing w:lineRule="auto" w:line="240" w:before="0" w:after="0"/>
        <w:ind w:left="0" w:right="0" w:hanging="0"/>
        <w:jc w:val="both"/>
        <w:rPr/>
      </w:pPr>
      <w:r>
        <w:rPr>
          <w:rFonts w:ascii="Tinos" w:hAnsi="Tinos"/>
          <w:sz w:val="28"/>
          <w:szCs w:val="28"/>
        </w:rPr>
        <w:tab/>
        <w:t>Базовый период 202</w:t>
      </w:r>
      <w:r>
        <w:rPr>
          <w:rFonts w:eastAsia="Times New Roman" w:cs="Arial" w:ascii="Tinos" w:hAnsi="Tinos"/>
          <w:color w:val="auto"/>
          <w:kern w:val="0"/>
          <w:sz w:val="28"/>
          <w:szCs w:val="28"/>
          <w:lang w:val="ru-RU" w:eastAsia="ru-RU" w:bidi="ar-SA"/>
        </w:rPr>
        <w:t>4</w:t>
      </w:r>
      <w:r>
        <w:rPr>
          <w:rFonts w:ascii="Tinos" w:hAnsi="Tinos"/>
          <w:sz w:val="28"/>
          <w:szCs w:val="28"/>
        </w:rPr>
        <w:t xml:space="preserve"> год (100%) -</w:t>
      </w:r>
      <w:r>
        <w:rPr>
          <w:rFonts w:eastAsia="Times New Roman" w:cs="Arial" w:ascii="Tinos" w:hAnsi="Tinos"/>
          <w:color w:val="auto"/>
          <w:kern w:val="0"/>
          <w:sz w:val="28"/>
          <w:szCs w:val="28"/>
          <w:lang w:val="ru-RU" w:eastAsia="ru-RU" w:bidi="ar-SA"/>
        </w:rPr>
        <w:t>1</w:t>
      </w:r>
      <w:r>
        <w:rPr>
          <w:rFonts w:ascii="Tinos" w:hAnsi="Tinos"/>
          <w:sz w:val="28"/>
          <w:szCs w:val="28"/>
        </w:rPr>
        <w:t xml:space="preserve"> нарушени</w:t>
      </w:r>
      <w:r>
        <w:rPr>
          <w:rFonts w:eastAsia="Times New Roman" w:cs="Arial" w:ascii="Tinos" w:hAnsi="Tinos"/>
          <w:color w:val="auto"/>
          <w:kern w:val="0"/>
          <w:sz w:val="28"/>
          <w:szCs w:val="28"/>
          <w:lang w:val="ru-RU" w:eastAsia="ru-RU" w:bidi="ar-SA"/>
        </w:rPr>
        <w:t>е (грубое нарушение лицензионных требований)</w:t>
      </w:r>
      <w:r>
        <w:rPr>
          <w:rFonts w:ascii="Tinos" w:hAnsi="Tinos"/>
          <w:sz w:val="28"/>
          <w:szCs w:val="28"/>
        </w:rPr>
        <w:t>.</w:t>
      </w:r>
    </w:p>
    <w:p>
      <w:pPr>
        <w:pStyle w:val="ConsPlusNormal"/>
        <w:suppressAutoHyphens w:val="true"/>
        <w:overflowPunct w:val="false"/>
        <w:bidi w:val="0"/>
        <w:spacing w:lineRule="auto" w:line="240" w:before="0" w:after="0"/>
        <w:ind w:left="0" w:right="0" w:hanging="0"/>
        <w:jc w:val="both"/>
        <w:rPr/>
      </w:pPr>
      <w:r>
        <w:rPr>
          <w:rFonts w:ascii="Tinos" w:hAnsi="Tinos"/>
          <w:sz w:val="28"/>
          <w:szCs w:val="28"/>
        </w:rPr>
        <w:tab/>
        <w:t>В 202</w:t>
      </w:r>
      <w:r>
        <w:rPr>
          <w:rFonts w:eastAsia="Times New Roman" w:cs="Arial" w:ascii="Tinos" w:hAnsi="Tinos"/>
          <w:color w:val="auto"/>
          <w:kern w:val="0"/>
          <w:sz w:val="28"/>
          <w:szCs w:val="28"/>
          <w:lang w:val="ru-RU" w:eastAsia="ru-RU" w:bidi="ar-SA"/>
        </w:rPr>
        <w:t>5</w:t>
      </w:r>
      <w:r>
        <w:rPr>
          <w:rFonts w:ascii="Tinos" w:hAnsi="Tinos"/>
          <w:sz w:val="28"/>
          <w:szCs w:val="28"/>
        </w:rPr>
        <w:t xml:space="preserve"> году показатель не должен превышать 97,5% от базового периода. </w:t>
      </w:r>
      <w:r>
        <w:rPr>
          <w:rFonts w:ascii="Tinos" w:hAnsi="Tinos"/>
          <w:color w:val="000000"/>
          <w:sz w:val="28"/>
          <w:szCs w:val="28"/>
        </w:rPr>
        <w:t>Показатель рассчитывается как соотношение количества нарушений законодательства, допущенных подконтрольными субъектами и выявленных при проведении проверок, к количеству нарушений за 202</w:t>
      </w:r>
      <w:r>
        <w:rPr>
          <w:rFonts w:eastAsia="Times New Roman" w:cs="Arial" w:ascii="Tinos" w:hAnsi="Tinos"/>
          <w:color w:val="000000"/>
          <w:kern w:val="0"/>
          <w:sz w:val="28"/>
          <w:szCs w:val="28"/>
          <w:lang w:val="ru-RU" w:eastAsia="ru-RU" w:bidi="ar-SA"/>
        </w:rPr>
        <w:t>4</w:t>
      </w:r>
      <w:r>
        <w:rPr>
          <w:rFonts w:ascii="Tinos" w:hAnsi="Tinos"/>
          <w:color w:val="000000"/>
          <w:sz w:val="28"/>
          <w:szCs w:val="28"/>
        </w:rPr>
        <w:t xml:space="preserve"> год.</w:t>
      </w:r>
    </w:p>
    <w:p>
      <w:pPr>
        <w:pStyle w:val="ConsPlusNormal"/>
        <w:suppressAutoHyphens w:val="true"/>
        <w:overflowPunct w:val="false"/>
        <w:bidi w:val="0"/>
        <w:spacing w:lineRule="auto" w:line="240" w:before="0" w:after="0"/>
        <w:ind w:left="0" w:right="0" w:hanging="0"/>
        <w:jc w:val="both"/>
        <w:rPr/>
      </w:pPr>
      <w:r>
        <w:rPr>
          <w:rFonts w:ascii="Tinos" w:hAnsi="Tinos"/>
          <w:sz w:val="28"/>
          <w:szCs w:val="28"/>
        </w:rPr>
        <w:tab/>
        <w:t xml:space="preserve">Фактически </w:t>
      </w:r>
      <w:r>
        <w:rPr>
          <w:rFonts w:eastAsia="Times New Roman" w:cs="Arial" w:ascii="Tinos" w:hAnsi="Tinos"/>
          <w:color w:val="auto"/>
          <w:kern w:val="0"/>
          <w:sz w:val="28"/>
          <w:szCs w:val="28"/>
          <w:lang w:val="ru-RU" w:eastAsia="ru-RU" w:bidi="ar-SA"/>
        </w:rPr>
        <w:t>за 6 месяцев</w:t>
      </w:r>
      <w:r>
        <w:rPr>
          <w:rFonts w:ascii="Tinos" w:hAnsi="Tinos"/>
          <w:sz w:val="28"/>
          <w:szCs w:val="28"/>
        </w:rPr>
        <w:t xml:space="preserve"> 202</w:t>
      </w:r>
      <w:r>
        <w:rPr>
          <w:rFonts w:eastAsia="Times New Roman" w:cs="Arial" w:ascii="Tinos" w:hAnsi="Tinos"/>
          <w:color w:val="auto"/>
          <w:kern w:val="0"/>
          <w:sz w:val="28"/>
          <w:szCs w:val="28"/>
          <w:lang w:val="ru-RU" w:eastAsia="ru-RU" w:bidi="ar-SA"/>
        </w:rPr>
        <w:t>5</w:t>
      </w:r>
      <w:r>
        <w:rPr>
          <w:rFonts w:ascii="Tinos" w:hAnsi="Tinos"/>
          <w:sz w:val="28"/>
          <w:szCs w:val="28"/>
        </w:rPr>
        <w:t xml:space="preserve"> год</w:t>
      </w:r>
      <w:r>
        <w:rPr>
          <w:rFonts w:eastAsia="Times New Roman" w:cs="Arial" w:ascii="Tinos" w:hAnsi="Tinos"/>
          <w:color w:val="auto"/>
          <w:kern w:val="0"/>
          <w:sz w:val="28"/>
          <w:szCs w:val="28"/>
          <w:lang w:val="ru-RU" w:eastAsia="ru-RU" w:bidi="ar-SA"/>
        </w:rPr>
        <w:t>а</w:t>
      </w:r>
      <w:r>
        <w:rPr>
          <w:rFonts w:ascii="Tinos" w:hAnsi="Tinos"/>
          <w:sz w:val="28"/>
          <w:szCs w:val="28"/>
        </w:rPr>
        <w:t xml:space="preserve"> по итогам проведенн</w:t>
      </w:r>
      <w:r>
        <w:rPr>
          <w:rFonts w:eastAsia="Times New Roman" w:cs="Arial" w:ascii="Tinos" w:hAnsi="Tinos"/>
          <w:color w:val="auto"/>
          <w:kern w:val="0"/>
          <w:sz w:val="28"/>
          <w:szCs w:val="28"/>
          <w:lang w:val="ru-RU" w:eastAsia="ru-RU" w:bidi="ar-SA"/>
        </w:rPr>
        <w:t>ых 3</w:t>
      </w:r>
      <w:r>
        <w:rPr>
          <w:rFonts w:eastAsia="Times New Roman" w:cs="Arial" w:ascii="Tinos" w:hAnsi="Tinos"/>
          <w:color w:val="000000"/>
          <w:kern w:val="0"/>
          <w:sz w:val="28"/>
          <w:szCs w:val="28"/>
          <w:lang w:val="ru-RU" w:eastAsia="zh-CN" w:bidi="ar-SA"/>
        </w:rPr>
        <w:t xml:space="preserve"> плановых</w:t>
      </w:r>
      <w:r>
        <w:rPr>
          <w:rFonts w:ascii="Tinos" w:hAnsi="Tinos"/>
          <w:sz w:val="28"/>
          <w:szCs w:val="28"/>
        </w:rPr>
        <w:t xml:space="preserve"> провер</w:t>
      </w:r>
      <w:r>
        <w:rPr>
          <w:rFonts w:eastAsia="Times New Roman" w:cs="Arial" w:ascii="Tinos" w:hAnsi="Tinos"/>
          <w:color w:val="auto"/>
          <w:kern w:val="0"/>
          <w:sz w:val="28"/>
          <w:szCs w:val="28"/>
          <w:lang w:val="ru-RU" w:eastAsia="ru-RU" w:bidi="ar-SA"/>
        </w:rPr>
        <w:t>ок:</w:t>
      </w:r>
      <w:r>
        <w:rPr>
          <w:rFonts w:ascii="Tinos" w:hAnsi="Tinos"/>
          <w:sz w:val="28"/>
          <w:szCs w:val="28"/>
        </w:rPr>
        <w:t xml:space="preserve"> в отношении одного частного охранного предприятия выявлены  нарушения действующего </w:t>
      </w:r>
      <w:r>
        <w:rPr>
          <w:rFonts w:eastAsia="Times New Roman" w:cs="Arial" w:ascii="Tinos" w:hAnsi="Tinos"/>
          <w:color w:val="auto"/>
          <w:kern w:val="0"/>
          <w:sz w:val="28"/>
          <w:szCs w:val="28"/>
          <w:lang w:val="ru-RU" w:eastAsia="ru-RU" w:bidi="ar-SA"/>
        </w:rPr>
        <w:t>законодательства</w:t>
      </w:r>
      <w:r>
        <w:rPr>
          <w:rFonts w:ascii="Tinos" w:hAnsi="Tinos"/>
          <w:sz w:val="28"/>
          <w:szCs w:val="28"/>
        </w:rPr>
        <w:t xml:space="preserve"> (составлен протокол </w:t>
      </w:r>
      <w:r>
        <w:rPr>
          <w:rFonts w:eastAsia="Times New Roman" w:cs="Arial" w:ascii="Tinos" w:hAnsi="Tinos"/>
          <w:color w:val="auto"/>
          <w:kern w:val="0"/>
          <w:sz w:val="28"/>
          <w:szCs w:val="28"/>
          <w:lang w:val="ru-RU" w:eastAsia="ru-RU" w:bidi="ar-SA"/>
        </w:rPr>
        <w:t>об</w:t>
      </w:r>
      <w:r>
        <w:rPr>
          <w:rFonts w:ascii="Tinos" w:hAnsi="Tinos"/>
          <w:sz w:val="28"/>
          <w:szCs w:val="28"/>
        </w:rPr>
        <w:t xml:space="preserve"> административном правонарушении по ч. 4 ст. </w:t>
      </w:r>
      <w:r>
        <w:rPr>
          <w:rFonts w:eastAsia="Times New Roman" w:cs="Arial" w:ascii="Tinos" w:hAnsi="Tinos"/>
          <w:color w:val="auto"/>
          <w:kern w:val="0"/>
          <w:sz w:val="28"/>
          <w:szCs w:val="28"/>
          <w:lang w:val="ru-RU" w:eastAsia="ru-RU" w:bidi="ar-SA"/>
        </w:rPr>
        <w:t xml:space="preserve">20.16 </w:t>
      </w:r>
      <w:r>
        <w:rPr>
          <w:rFonts w:ascii="Tinos" w:hAnsi="Tinos"/>
          <w:sz w:val="28"/>
          <w:szCs w:val="28"/>
        </w:rPr>
        <w:t>КоАП РФ)</w:t>
      </w:r>
      <w:r>
        <w:rPr>
          <w:rFonts w:eastAsia="Times New Roman" w:cs="Arial" w:ascii="Tinos" w:hAnsi="Tinos"/>
          <w:color w:val="auto"/>
          <w:kern w:val="0"/>
          <w:sz w:val="28"/>
          <w:szCs w:val="28"/>
          <w:lang w:val="ru-RU" w:eastAsia="ru-RU" w:bidi="ar-SA"/>
        </w:rPr>
        <w:t>.</w:t>
      </w:r>
    </w:p>
    <w:p>
      <w:pPr>
        <w:pStyle w:val="Style22"/>
        <w:widowControl/>
        <w:suppressAutoHyphens w:val="true"/>
        <w:overflowPunct w:val="false"/>
        <w:bidi w:val="0"/>
        <w:spacing w:lineRule="auto" w:line="240" w:before="0" w:after="0"/>
        <w:ind w:left="0" w:right="0" w:hanging="0"/>
        <w:jc w:val="both"/>
        <w:rPr/>
      </w:pPr>
      <w:r>
        <w:rPr/>
      </w:r>
      <w:bookmarkStart w:id="0" w:name="_GoBack"/>
      <w:bookmarkStart w:id="1" w:name="_GoBack"/>
      <w:bookmarkEnd w:id="1"/>
    </w:p>
    <w:p>
      <w:pPr>
        <w:pStyle w:val="Normal"/>
        <w:spacing w:lineRule="auto" w:line="240" w:before="0" w:after="0"/>
        <w:ind w:left="0" w:right="0" w:hanging="0"/>
        <w:jc w:val="both"/>
        <w:rPr/>
      </w:pPr>
      <w:r>
        <w:rPr>
          <w:rFonts w:eastAsia="Times New Roman" w:cs="Times New Roman" w:ascii="Tinos" w:hAnsi="Tinos"/>
          <w:sz w:val="28"/>
          <w:szCs w:val="28"/>
          <w:lang w:eastAsia="ru-RU"/>
        </w:rPr>
        <w:t xml:space="preserve">ЦЛРР Управления Росгвардии по Республике </w:t>
      </w:r>
      <w:r>
        <w:rPr>
          <w:rFonts w:eastAsia="Times New Roman" w:cs="Times New Roman" w:ascii="Tinos" w:hAnsi="Tinos"/>
          <w:color w:val="auto"/>
          <w:kern w:val="0"/>
          <w:sz w:val="28"/>
          <w:szCs w:val="28"/>
          <w:lang w:val="ru-RU" w:eastAsia="ru-RU" w:bidi="ar-SA"/>
        </w:rPr>
        <w:t>Тыва</w:t>
      </w:r>
    </w:p>
    <w:sectPr>
      <w:footnotePr>
        <w:numFmt w:val="decimal"/>
      </w:footnote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ahoma">
    <w:charset w:val="01"/>
    <w:family w:val="roman"/>
    <w:pitch w:val="default"/>
  </w:font>
  <w:font w:name="PT Astra Serif">
    <w:charset w:val="01"/>
    <w:family w:val="roman"/>
    <w:pitch w:val="default"/>
  </w:font>
  <w:font w:name="Arial">
    <w:charset w:val="01"/>
    <w:family w:val="roman"/>
    <w:pitch w:val="default"/>
  </w:font>
  <w:font w:name="Tinos">
    <w:charset w:val="01"/>
    <w:family w:val="roman"/>
    <w:pitch w:val="default"/>
  </w:font>
</w:fonts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footnote w:id="0" w:type="separator">
    <w:p>
      <w:pPr>
        <w:rPr>
          <w:sz w:val="12"/>
        </w:rPr>
      </w:pPr>
      <w:r>
        <w:separator/>
      </w:r>
    </w:p>
  </w:footnote>
  <w:footnote w:id="1" w:type="continuationSeparator">
    <w:p>
      <w:pPr>
        <w:rPr>
          <w:sz w:val="12"/>
        </w:rPr>
      </w:pPr>
      <w:r>
        <w:continuationSeparator/>
      </w:r>
    </w:p>
  </w:footnote>
  <w:footnote w:id="2">
    <w:p>
      <w:pPr>
        <w:pStyle w:val="Style26"/>
        <w:spacing w:before="0" w:after="200"/>
        <w:rPr>
          <w:rFonts w:ascii="Tinos" w:hAnsi="Tinos"/>
        </w:rPr>
      </w:pPr>
      <w:r>
        <w:rPr>
          <w:rStyle w:val="Style16"/>
        </w:rPr>
        <w:footnoteRef/>
      </w:r>
      <w:r>
        <w:rPr>
          <w:rFonts w:ascii="Tinos" w:hAnsi="Tinos"/>
        </w:rPr>
        <w:tab/>
        <w:t>далее- юридическое лицо</w:t>
      </w:r>
    </w:p>
  </w:footnote>
</w:footnote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40"/>
  <w:defaultTabStop w:val="708"/>
  <w:autoHyphenation w:val="true"/>
  <w:footnotePr>
    <w:numFmt w:val="decimal"/>
    <w:footnote w:id="0"/>
    <w:footnote w:id="1"/>
  </w:foot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2">
    <w:name w:val="Heading 2"/>
    <w:basedOn w:val="Style21"/>
    <w:next w:val="Style22"/>
    <w:qFormat/>
    <w:pPr>
      <w:numPr>
        <w:ilvl w:val="1"/>
        <w:numId w:val="1"/>
      </w:numPr>
      <w:spacing w:before="200" w:after="120"/>
      <w:outlineLvl w:val="1"/>
    </w:pPr>
    <w:rPr>
      <w:b/>
      <w:bCs/>
      <w:sz w:val="32"/>
      <w:szCs w:val="3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3" w:customStyle="1">
    <w:name w:val="Текст выноски Знак"/>
    <w:basedOn w:val="DefaultParagraphFont"/>
    <w:link w:val="a3"/>
    <w:uiPriority w:val="99"/>
    <w:semiHidden/>
    <w:qFormat/>
    <w:rsid w:val="00f50e7e"/>
    <w:rPr>
      <w:rFonts w:ascii="Tahoma" w:hAnsi="Tahoma" w:cs="Tahoma"/>
      <w:sz w:val="16"/>
      <w:szCs w:val="16"/>
    </w:rPr>
  </w:style>
  <w:style w:type="character" w:styleId="Style14">
    <w:name w:val="Интернет-ссылка"/>
    <w:rPr>
      <w:color w:val="000080"/>
      <w:u w:val="single"/>
      <w:lang w:val="zxx" w:eastAsia="zxx" w:bidi="zxx"/>
    </w:rPr>
  </w:style>
  <w:style w:type="character" w:styleId="Style15">
    <w:name w:val="Символ нумерации"/>
    <w:qFormat/>
    <w:rPr/>
  </w:style>
  <w:style w:type="character" w:styleId="Style16">
    <w:name w:val="Символ сноски"/>
    <w:qFormat/>
    <w:rPr/>
  </w:style>
  <w:style w:type="character" w:styleId="Style17">
    <w:name w:val="Привязка сноски"/>
    <w:rPr>
      <w:vertAlign w:val="superscript"/>
    </w:rPr>
  </w:style>
  <w:style w:type="character" w:styleId="Style18">
    <w:name w:val="Привязка концевой сноски"/>
    <w:rPr>
      <w:vertAlign w:val="superscript"/>
    </w:rPr>
  </w:style>
  <w:style w:type="character" w:styleId="Style19">
    <w:name w:val="Символ концевой сноски"/>
    <w:qFormat/>
    <w:rPr/>
  </w:style>
  <w:style w:type="character" w:styleId="Style20">
    <w:name w:val="Основной шрифт абзаца"/>
    <w:qFormat/>
    <w:rPr/>
  </w:style>
  <w:style w:type="paragraph" w:styleId="Style21">
    <w:name w:val="Заголовок"/>
    <w:basedOn w:val="Normal"/>
    <w:next w:val="Style22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22">
    <w:name w:val="Body Text"/>
    <w:basedOn w:val="Normal"/>
    <w:pPr>
      <w:spacing w:lineRule="auto" w:line="276" w:before="0" w:after="140"/>
    </w:pPr>
    <w:rPr/>
  </w:style>
  <w:style w:type="paragraph" w:styleId="Style23">
    <w:name w:val="List"/>
    <w:basedOn w:val="Style22"/>
    <w:pPr/>
    <w:rPr>
      <w:rFonts w:ascii="PT Astra Serif" w:hAnsi="PT Astra Serif" w:cs="Noto Sans Devanagari"/>
    </w:rPr>
  </w:style>
  <w:style w:type="paragraph" w:styleId="Style24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5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BalloonText">
    <w:name w:val="Balloon Text"/>
    <w:basedOn w:val="Normal"/>
    <w:link w:val="a4"/>
    <w:uiPriority w:val="99"/>
    <w:semiHidden/>
    <w:unhideWhenUsed/>
    <w:qFormat/>
    <w:rsid w:val="00f50e7e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ConsPlusNormal" w:customStyle="1">
    <w:name w:val="ConsPlusNormal"/>
    <w:qFormat/>
    <w:rsid w:val="00ff0b53"/>
    <w:pPr>
      <w:widowControl w:val="false"/>
      <w:suppressAutoHyphens w:val="true"/>
      <w:bidi w:val="0"/>
      <w:spacing w:lineRule="auto" w:line="240" w:before="0" w:after="0"/>
      <w:jc w:val="left"/>
    </w:pPr>
    <w:rPr>
      <w:rFonts w:ascii="Arial" w:hAnsi="Arial" w:eastAsia="Times New Roman" w:cs="Arial"/>
      <w:color w:val="auto"/>
      <w:kern w:val="0"/>
      <w:sz w:val="20"/>
      <w:szCs w:val="20"/>
      <w:lang w:val="ru-RU" w:eastAsia="ru-RU" w:bidi="ar-SA"/>
    </w:rPr>
  </w:style>
  <w:style w:type="paragraph" w:styleId="ListParagraph">
    <w:name w:val="List Paragraph"/>
    <w:basedOn w:val="Normal"/>
    <w:uiPriority w:val="34"/>
    <w:qFormat/>
    <w:rsid w:val="0086696a"/>
    <w:pPr>
      <w:spacing w:before="0" w:after="200"/>
      <w:ind w:left="720" w:hanging="0"/>
      <w:contextualSpacing/>
    </w:pPr>
    <w:rPr/>
  </w:style>
  <w:style w:type="paragraph" w:styleId="Style26">
    <w:name w:val="Footnote Text"/>
    <w:basedOn w:val="Normal"/>
    <w:pPr>
      <w:suppressLineNumbers/>
      <w:ind w:left="339" w:hanging="339"/>
    </w:pPr>
    <w:rPr>
      <w:sz w:val="20"/>
      <w:szCs w:val="20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notes" Target="footnotes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B55D11-ADF2-432F-9423-94CEA5E7C9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560</TotalTime>
  <Application>LibreOffice/6.4.7.2$Linux_X86_64 LibreOffice_project/40$Build-2</Application>
  <Pages>4</Pages>
  <Words>922</Words>
  <Characters>6253</Characters>
  <CharactersWithSpaces>7190</CharactersWithSpaces>
  <Paragraphs>44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2018-12-18T09:41:00Z</dcterms:created>
  <dc:creator>Бондарь Игорь Валерьевич</dc:creator>
  <dc:description/>
  <dc:language>ru-RU</dc:language>
  <cp:lastModifiedBy/>
  <cp:lastPrinted>2018-12-28T07:19:00Z</cp:lastPrinted>
  <dcterms:modified xsi:type="dcterms:W3CDTF">2025-06-30T11:37:03Z</dcterms:modified>
  <cp:revision>84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